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DD754" w14:textId="73CA50C2" w:rsidR="0017226E" w:rsidRPr="000E7BC4" w:rsidRDefault="0017226E" w:rsidP="000E7BC4">
      <w:pPr>
        <w:spacing w:after="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7D0B5E62" w14:textId="3DCBD06E" w:rsidR="0017226E" w:rsidRPr="00791B84" w:rsidRDefault="0017226E" w:rsidP="000E7BC4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791B84">
        <w:rPr>
          <w:rFonts w:ascii="Calibri" w:hAnsi="Calibri"/>
          <w:b/>
          <w:sz w:val="32"/>
          <w:szCs w:val="32"/>
        </w:rPr>
        <w:t>F</w:t>
      </w:r>
      <w:r w:rsidRPr="00791B84">
        <w:rPr>
          <w:rFonts w:ascii="Calibri" w:hAnsi="Calibri"/>
          <w:b/>
          <w:sz w:val="28"/>
          <w:szCs w:val="28"/>
        </w:rPr>
        <w:t xml:space="preserve">inancial </w:t>
      </w:r>
      <w:r w:rsidRPr="00791B84">
        <w:rPr>
          <w:rFonts w:ascii="Calibri" w:hAnsi="Calibri"/>
          <w:b/>
          <w:sz w:val="32"/>
          <w:szCs w:val="32"/>
        </w:rPr>
        <w:t>I</w:t>
      </w:r>
      <w:r w:rsidRPr="00791B84">
        <w:rPr>
          <w:rFonts w:ascii="Calibri" w:hAnsi="Calibri"/>
          <w:b/>
          <w:sz w:val="28"/>
          <w:szCs w:val="28"/>
        </w:rPr>
        <w:t xml:space="preserve">ncentives, </w:t>
      </w:r>
      <w:r w:rsidRPr="00791B84">
        <w:rPr>
          <w:rFonts w:ascii="Calibri" w:hAnsi="Calibri"/>
          <w:b/>
          <w:sz w:val="32"/>
          <w:szCs w:val="32"/>
        </w:rPr>
        <w:t>R</w:t>
      </w:r>
      <w:r w:rsidRPr="00791B84">
        <w:rPr>
          <w:rFonts w:ascii="Calibri" w:hAnsi="Calibri"/>
          <w:b/>
          <w:sz w:val="28"/>
          <w:szCs w:val="28"/>
        </w:rPr>
        <w:t xml:space="preserve">andomization and </w:t>
      </w:r>
      <w:r w:rsidRPr="00791B84">
        <w:rPr>
          <w:rFonts w:ascii="Calibri" w:hAnsi="Calibri"/>
          <w:b/>
          <w:sz w:val="32"/>
          <w:szCs w:val="32"/>
        </w:rPr>
        <w:t>S</w:t>
      </w:r>
      <w:r w:rsidRPr="00791B84">
        <w:rPr>
          <w:rFonts w:ascii="Calibri" w:hAnsi="Calibri"/>
          <w:b/>
          <w:sz w:val="28"/>
          <w:szCs w:val="28"/>
        </w:rPr>
        <w:t xml:space="preserve">tepped </w:t>
      </w:r>
      <w:r w:rsidRPr="00791B84">
        <w:rPr>
          <w:rFonts w:ascii="Calibri" w:hAnsi="Calibri"/>
          <w:b/>
          <w:sz w:val="32"/>
          <w:szCs w:val="32"/>
        </w:rPr>
        <w:t>T</w:t>
      </w:r>
      <w:r w:rsidRPr="00791B84">
        <w:rPr>
          <w:rFonts w:ascii="Calibri" w:hAnsi="Calibri"/>
          <w:b/>
          <w:sz w:val="28"/>
          <w:szCs w:val="28"/>
        </w:rPr>
        <w:t xml:space="preserve">reatment: </w:t>
      </w:r>
    </w:p>
    <w:p w14:paraId="789278F5" w14:textId="3BF6D797" w:rsidR="00A60AF4" w:rsidRPr="00791B84" w:rsidRDefault="00B20E80" w:rsidP="000E7BC4">
      <w:pPr>
        <w:spacing w:after="0"/>
        <w:jc w:val="center"/>
        <w:rPr>
          <w:rFonts w:ascii="Calibri" w:hAnsi="Calibri"/>
          <w:sz w:val="28"/>
          <w:szCs w:val="28"/>
        </w:rPr>
      </w:pPr>
      <w:r w:rsidRPr="00791B84">
        <w:rPr>
          <w:rFonts w:ascii="Calibri" w:hAnsi="Calibri"/>
          <w:sz w:val="28"/>
          <w:szCs w:val="28"/>
        </w:rPr>
        <w:t>A</w:t>
      </w:r>
      <w:r w:rsidR="00884AF7" w:rsidRPr="00791B84">
        <w:rPr>
          <w:rFonts w:ascii="Calibri" w:hAnsi="Calibri"/>
          <w:sz w:val="28"/>
          <w:szCs w:val="28"/>
        </w:rPr>
        <w:t xml:space="preserve"> Quick</w:t>
      </w:r>
      <w:r w:rsidRPr="00791B84">
        <w:rPr>
          <w:rFonts w:ascii="Calibri" w:hAnsi="Calibri"/>
          <w:sz w:val="28"/>
          <w:szCs w:val="28"/>
        </w:rPr>
        <w:t xml:space="preserve"> Guide of </w:t>
      </w:r>
      <w:r w:rsidR="0017226E" w:rsidRPr="00791B84">
        <w:rPr>
          <w:rFonts w:ascii="Calibri" w:hAnsi="Calibri"/>
          <w:sz w:val="28"/>
          <w:szCs w:val="28"/>
        </w:rPr>
        <w:t xml:space="preserve">Medications </w:t>
      </w:r>
      <w:r w:rsidR="002806EF" w:rsidRPr="00791B84">
        <w:rPr>
          <w:rFonts w:ascii="Calibri" w:hAnsi="Calibri"/>
          <w:sz w:val="28"/>
          <w:szCs w:val="28"/>
        </w:rPr>
        <w:t>for Alcohol Use Disorder</w:t>
      </w:r>
      <w:r w:rsidR="0017226E" w:rsidRPr="00791B84">
        <w:rPr>
          <w:rFonts w:ascii="Calibri" w:hAnsi="Calibri"/>
          <w:sz w:val="28"/>
          <w:szCs w:val="28"/>
        </w:rPr>
        <w:t xml:space="preserve"> </w:t>
      </w:r>
    </w:p>
    <w:p w14:paraId="5229E0CE" w14:textId="0CE0FB52" w:rsidR="0017226E" w:rsidRPr="00791B84" w:rsidRDefault="0017226E" w:rsidP="000E7BC4">
      <w:pPr>
        <w:spacing w:after="0"/>
        <w:jc w:val="center"/>
        <w:rPr>
          <w:rFonts w:ascii="Calibri" w:hAnsi="Calibri"/>
          <w:sz w:val="28"/>
          <w:szCs w:val="28"/>
        </w:rPr>
      </w:pPr>
      <w:r w:rsidRPr="00791B84">
        <w:rPr>
          <w:rFonts w:ascii="Calibri" w:hAnsi="Calibri"/>
          <w:sz w:val="28"/>
          <w:szCs w:val="28"/>
        </w:rPr>
        <w:t>for Addiction Physician Management Visits</w:t>
      </w:r>
    </w:p>
    <w:p w14:paraId="2E1632EF" w14:textId="17DDE925" w:rsidR="0017226E" w:rsidRPr="000E7BC4" w:rsidRDefault="0017226E" w:rsidP="007A0349">
      <w:pPr>
        <w:jc w:val="center"/>
        <w:rPr>
          <w:rFonts w:ascii="Calibri" w:hAnsi="Calibri"/>
          <w:sz w:val="22"/>
          <w:szCs w:val="22"/>
        </w:rPr>
      </w:pPr>
      <w:r w:rsidRPr="004D16BD">
        <w:rPr>
          <w:rFonts w:ascii="Calibri" w:hAnsi="Calibri"/>
          <w:noProof/>
          <w:sz w:val="22"/>
          <w:szCs w:val="22"/>
        </w:rPr>
        <w:drawing>
          <wp:inline distT="0" distB="0" distL="0" distR="0" wp14:anchorId="3745DF33" wp14:editId="24983333">
            <wp:extent cx="2114550" cy="641935"/>
            <wp:effectExtent l="0" t="0" r="0" b="635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42E8427-4294-440F-8751-AB826BC5AB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42E8427-4294-440F-8751-AB826BC5AB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8559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74F35" w14:textId="77777777" w:rsidR="002806EF" w:rsidRPr="00B249C2" w:rsidRDefault="002806EF" w:rsidP="00791B84">
      <w:pPr>
        <w:spacing w:after="0"/>
        <w:rPr>
          <w:rFonts w:ascii="Calibri" w:hAnsi="Calibri"/>
          <w:sz w:val="22"/>
          <w:szCs w:val="22"/>
        </w:rPr>
      </w:pPr>
    </w:p>
    <w:p w14:paraId="44A15F7B" w14:textId="29CF9D65" w:rsidR="007A0349" w:rsidRPr="00673053" w:rsidRDefault="007A0349" w:rsidP="00791B84">
      <w:pPr>
        <w:spacing w:after="0"/>
        <w:rPr>
          <w:b/>
          <w:sz w:val="24"/>
          <w:szCs w:val="22"/>
        </w:rPr>
      </w:pPr>
      <w:r w:rsidRPr="00673053">
        <w:rPr>
          <w:b/>
          <w:sz w:val="24"/>
          <w:szCs w:val="22"/>
        </w:rPr>
        <w:t>Importance</w:t>
      </w:r>
    </w:p>
    <w:p w14:paraId="4E49BE5B" w14:textId="1F08CFF2" w:rsidR="007E11EC" w:rsidRDefault="003E4F96" w:rsidP="00791B84">
      <w:pPr>
        <w:spacing w:after="0"/>
        <w:rPr>
          <w:rFonts w:ascii="Calibri" w:hAnsi="Calibri"/>
          <w:sz w:val="22"/>
          <w:szCs w:val="22"/>
        </w:rPr>
      </w:pPr>
      <w:r w:rsidRPr="00B249C2">
        <w:rPr>
          <w:rFonts w:ascii="Calibri" w:hAnsi="Calibri"/>
          <w:sz w:val="22"/>
          <w:szCs w:val="22"/>
        </w:rPr>
        <w:t>Medications for the treatment of alc</w:t>
      </w:r>
      <w:r w:rsidR="004F6CA3">
        <w:rPr>
          <w:rFonts w:ascii="Calibri" w:hAnsi="Calibri"/>
          <w:sz w:val="22"/>
          <w:szCs w:val="22"/>
        </w:rPr>
        <w:t>ohol use disorder are underused</w:t>
      </w:r>
      <w:r w:rsidRPr="00B249C2">
        <w:rPr>
          <w:rFonts w:ascii="Calibri" w:hAnsi="Calibri"/>
          <w:sz w:val="22"/>
          <w:szCs w:val="22"/>
        </w:rPr>
        <w:t xml:space="preserve"> despite evidence demonstrating their </w:t>
      </w:r>
      <w:r w:rsidR="00E054B6" w:rsidRPr="00B249C2">
        <w:rPr>
          <w:rFonts w:ascii="Calibri" w:hAnsi="Calibri"/>
          <w:sz w:val="22"/>
          <w:szCs w:val="22"/>
        </w:rPr>
        <w:t>utility</w:t>
      </w:r>
      <w:r w:rsidRPr="00B249C2">
        <w:rPr>
          <w:rFonts w:ascii="Calibri" w:hAnsi="Calibri"/>
          <w:sz w:val="22"/>
          <w:szCs w:val="22"/>
        </w:rPr>
        <w:t xml:space="preserve"> in preventing relapse to alcohol use</w:t>
      </w:r>
      <w:r w:rsidR="004C60EA" w:rsidRPr="00B249C2">
        <w:rPr>
          <w:rFonts w:ascii="Calibri" w:hAnsi="Calibri"/>
          <w:sz w:val="22"/>
          <w:szCs w:val="22"/>
        </w:rPr>
        <w:t xml:space="preserve"> (1</w:t>
      </w:r>
      <w:r w:rsidR="00FB117A" w:rsidRPr="00B249C2">
        <w:rPr>
          <w:rFonts w:ascii="Calibri" w:hAnsi="Calibri"/>
          <w:sz w:val="22"/>
          <w:szCs w:val="22"/>
        </w:rPr>
        <w:t>,2,3</w:t>
      </w:r>
      <w:r w:rsidR="004D16BD">
        <w:rPr>
          <w:rFonts w:ascii="Calibri" w:hAnsi="Calibri"/>
          <w:sz w:val="22"/>
          <w:szCs w:val="22"/>
        </w:rPr>
        <w:t>,4</w:t>
      </w:r>
      <w:r w:rsidR="004C60EA" w:rsidRPr="00B249C2">
        <w:rPr>
          <w:rFonts w:ascii="Calibri" w:hAnsi="Calibri"/>
          <w:sz w:val="22"/>
          <w:szCs w:val="22"/>
        </w:rPr>
        <w:t>)</w:t>
      </w:r>
      <w:r w:rsidRPr="00B249C2">
        <w:rPr>
          <w:rFonts w:ascii="Calibri" w:hAnsi="Calibri"/>
          <w:sz w:val="22"/>
          <w:szCs w:val="22"/>
        </w:rPr>
        <w:t xml:space="preserve">.  </w:t>
      </w:r>
      <w:r w:rsidR="00680189">
        <w:rPr>
          <w:rFonts w:ascii="Calibri" w:hAnsi="Calibri"/>
          <w:sz w:val="22"/>
          <w:szCs w:val="22"/>
        </w:rPr>
        <w:t xml:space="preserve">Some FIRST trial patients will meet criteria for alcohol use disorder and these medications </w:t>
      </w:r>
      <w:r w:rsidR="00E054B6" w:rsidRPr="00B249C2">
        <w:rPr>
          <w:rFonts w:ascii="Calibri" w:hAnsi="Calibri"/>
          <w:sz w:val="22"/>
          <w:szCs w:val="22"/>
        </w:rPr>
        <w:t xml:space="preserve">should be considered </w:t>
      </w:r>
      <w:r w:rsidR="00680189">
        <w:rPr>
          <w:rFonts w:ascii="Calibri" w:hAnsi="Calibri"/>
          <w:sz w:val="22"/>
          <w:szCs w:val="22"/>
        </w:rPr>
        <w:t>as part of Addiction Physician Management</w:t>
      </w:r>
      <w:r w:rsidR="0017226E">
        <w:rPr>
          <w:rFonts w:ascii="Calibri" w:hAnsi="Calibri"/>
          <w:sz w:val="22"/>
          <w:szCs w:val="22"/>
        </w:rPr>
        <w:t xml:space="preserve"> </w:t>
      </w:r>
      <w:r w:rsidR="004C60EA" w:rsidRPr="00B249C2">
        <w:rPr>
          <w:rFonts w:ascii="Calibri" w:hAnsi="Calibri"/>
          <w:sz w:val="22"/>
          <w:szCs w:val="22"/>
        </w:rPr>
        <w:t>(1,2</w:t>
      </w:r>
      <w:r w:rsidR="004D16BD">
        <w:rPr>
          <w:rFonts w:ascii="Calibri" w:hAnsi="Calibri"/>
          <w:sz w:val="22"/>
          <w:szCs w:val="22"/>
        </w:rPr>
        <w:t>,4</w:t>
      </w:r>
      <w:r w:rsidR="004C60EA" w:rsidRPr="00B249C2">
        <w:rPr>
          <w:rFonts w:ascii="Calibri" w:hAnsi="Calibri"/>
          <w:sz w:val="22"/>
          <w:szCs w:val="22"/>
        </w:rPr>
        <w:t>)</w:t>
      </w:r>
      <w:r w:rsidR="000E2F9A" w:rsidRPr="00B249C2">
        <w:rPr>
          <w:rFonts w:ascii="Calibri" w:hAnsi="Calibri"/>
          <w:sz w:val="22"/>
          <w:szCs w:val="22"/>
        </w:rPr>
        <w:t xml:space="preserve">.  </w:t>
      </w:r>
    </w:p>
    <w:p w14:paraId="143990CA" w14:textId="77777777" w:rsidR="00673053" w:rsidRPr="00B249C2" w:rsidRDefault="00673053" w:rsidP="00791B84">
      <w:pPr>
        <w:spacing w:after="0"/>
        <w:rPr>
          <w:rFonts w:ascii="Calibri" w:hAnsi="Calibri"/>
          <w:sz w:val="22"/>
          <w:szCs w:val="22"/>
        </w:rPr>
      </w:pPr>
    </w:p>
    <w:p w14:paraId="7FE82927" w14:textId="77777777" w:rsidR="007A0349" w:rsidRPr="00673053" w:rsidRDefault="007A0349" w:rsidP="00791B84">
      <w:pPr>
        <w:spacing w:after="0"/>
        <w:rPr>
          <w:b/>
          <w:sz w:val="24"/>
          <w:szCs w:val="22"/>
        </w:rPr>
      </w:pPr>
      <w:r w:rsidRPr="00673053">
        <w:rPr>
          <w:b/>
          <w:sz w:val="24"/>
          <w:szCs w:val="22"/>
        </w:rPr>
        <w:t>Medications for Alcohol Use Disorder</w:t>
      </w:r>
    </w:p>
    <w:p w14:paraId="63E23DF3" w14:textId="360AE6BE" w:rsidR="00D876E3" w:rsidRDefault="000E2F9A" w:rsidP="00791B84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2"/>
          <w:szCs w:val="22"/>
        </w:rPr>
      </w:pPr>
      <w:r w:rsidRPr="00D876E3">
        <w:rPr>
          <w:rFonts w:ascii="Calibri" w:hAnsi="Calibri"/>
          <w:sz w:val="22"/>
          <w:szCs w:val="22"/>
        </w:rPr>
        <w:t>The Food and Drug Administration (FDA) has approved three medications</w:t>
      </w:r>
      <w:r w:rsidR="003E4F96" w:rsidRPr="00D876E3">
        <w:rPr>
          <w:rFonts w:ascii="Calibri" w:hAnsi="Calibri"/>
          <w:sz w:val="22"/>
          <w:szCs w:val="22"/>
        </w:rPr>
        <w:t xml:space="preserve"> </w:t>
      </w:r>
      <w:r w:rsidRPr="00D876E3">
        <w:rPr>
          <w:rFonts w:ascii="Calibri" w:hAnsi="Calibri"/>
          <w:sz w:val="22"/>
          <w:szCs w:val="22"/>
        </w:rPr>
        <w:t xml:space="preserve">for the treatment of </w:t>
      </w:r>
      <w:r w:rsidR="00E054B6" w:rsidRPr="00D876E3">
        <w:rPr>
          <w:rFonts w:ascii="Calibri" w:hAnsi="Calibri"/>
          <w:sz w:val="22"/>
          <w:szCs w:val="22"/>
        </w:rPr>
        <w:t>alcohol use disorder:</w:t>
      </w:r>
      <w:r w:rsidRPr="00D876E3">
        <w:rPr>
          <w:rFonts w:ascii="Calibri" w:hAnsi="Calibri"/>
          <w:sz w:val="22"/>
          <w:szCs w:val="22"/>
        </w:rPr>
        <w:t xml:space="preserve"> </w:t>
      </w:r>
      <w:r w:rsidR="00E054B6" w:rsidRPr="00D876E3">
        <w:rPr>
          <w:rFonts w:ascii="Calibri" w:hAnsi="Calibri"/>
          <w:sz w:val="22"/>
          <w:szCs w:val="22"/>
        </w:rPr>
        <w:t>disulfiram,</w:t>
      </w:r>
      <w:r w:rsidRPr="00D876E3">
        <w:rPr>
          <w:rFonts w:ascii="Calibri" w:hAnsi="Calibri"/>
          <w:sz w:val="22"/>
          <w:szCs w:val="22"/>
        </w:rPr>
        <w:t xml:space="preserve"> </w:t>
      </w:r>
      <w:r w:rsidR="00E054B6" w:rsidRPr="00D876E3">
        <w:rPr>
          <w:rFonts w:ascii="Calibri" w:hAnsi="Calibri"/>
          <w:sz w:val="22"/>
          <w:szCs w:val="22"/>
        </w:rPr>
        <w:t>acamprosate, and</w:t>
      </w:r>
      <w:r w:rsidRPr="00D876E3">
        <w:rPr>
          <w:rFonts w:ascii="Calibri" w:hAnsi="Calibri"/>
          <w:sz w:val="22"/>
          <w:szCs w:val="22"/>
        </w:rPr>
        <w:t xml:space="preserve"> naltrexone.  </w:t>
      </w:r>
      <w:r w:rsidR="00283F09">
        <w:rPr>
          <w:rFonts w:ascii="Calibri" w:hAnsi="Calibri"/>
          <w:sz w:val="22"/>
          <w:szCs w:val="22"/>
        </w:rPr>
        <w:t>The VA/DO</w:t>
      </w:r>
      <w:r w:rsidR="00680189">
        <w:rPr>
          <w:rFonts w:ascii="Calibri" w:hAnsi="Calibri"/>
          <w:sz w:val="22"/>
          <w:szCs w:val="22"/>
        </w:rPr>
        <w:t>D Clinical Practice Guideline for the Management of Substance Use Disorders recommends their use in patients with alcohol use disorder</w:t>
      </w:r>
      <w:r w:rsidR="00673053">
        <w:rPr>
          <w:rFonts w:ascii="Calibri" w:hAnsi="Calibri"/>
          <w:sz w:val="22"/>
          <w:szCs w:val="22"/>
        </w:rPr>
        <w:t xml:space="preserve"> (4)</w:t>
      </w:r>
      <w:r w:rsidR="00680189">
        <w:rPr>
          <w:rFonts w:ascii="Calibri" w:hAnsi="Calibri"/>
          <w:sz w:val="22"/>
          <w:szCs w:val="22"/>
        </w:rPr>
        <w:t xml:space="preserve">. </w:t>
      </w:r>
    </w:p>
    <w:p w14:paraId="4726769E" w14:textId="1512B90A" w:rsidR="00D876E3" w:rsidRDefault="000E2F9A" w:rsidP="00791B84">
      <w:pPr>
        <w:pStyle w:val="ListParagraph"/>
        <w:numPr>
          <w:ilvl w:val="1"/>
          <w:numId w:val="6"/>
        </w:numPr>
        <w:spacing w:after="0"/>
        <w:rPr>
          <w:rFonts w:ascii="Calibri" w:hAnsi="Calibri"/>
          <w:sz w:val="22"/>
          <w:szCs w:val="22"/>
        </w:rPr>
      </w:pPr>
      <w:r w:rsidRPr="00D876E3">
        <w:rPr>
          <w:rFonts w:ascii="Calibri" w:hAnsi="Calibri"/>
          <w:sz w:val="22"/>
          <w:szCs w:val="22"/>
        </w:rPr>
        <w:t>Naltrexone is available in both oral and extended release injectable</w:t>
      </w:r>
      <w:r w:rsidR="009F7158" w:rsidRPr="00D876E3">
        <w:rPr>
          <w:rFonts w:ascii="Calibri" w:hAnsi="Calibri"/>
          <w:sz w:val="22"/>
          <w:szCs w:val="22"/>
        </w:rPr>
        <w:t xml:space="preserve"> formulations</w:t>
      </w:r>
      <w:r w:rsidR="004F6CA3">
        <w:rPr>
          <w:rFonts w:ascii="Calibri" w:hAnsi="Calibri"/>
          <w:sz w:val="22"/>
          <w:szCs w:val="22"/>
        </w:rPr>
        <w:t>.</w:t>
      </w:r>
    </w:p>
    <w:p w14:paraId="24B40C93" w14:textId="55539925" w:rsidR="0017226E" w:rsidRDefault="007E11EC" w:rsidP="00791B84">
      <w:pPr>
        <w:pStyle w:val="ListParagraph"/>
        <w:numPr>
          <w:ilvl w:val="1"/>
          <w:numId w:val="6"/>
        </w:numPr>
        <w:spacing w:after="0"/>
        <w:rPr>
          <w:rFonts w:ascii="Calibri" w:hAnsi="Calibri"/>
          <w:sz w:val="22"/>
          <w:szCs w:val="22"/>
        </w:rPr>
      </w:pPr>
      <w:r w:rsidRPr="00D876E3">
        <w:rPr>
          <w:rFonts w:ascii="Calibri" w:hAnsi="Calibri"/>
          <w:sz w:val="22"/>
          <w:szCs w:val="22"/>
        </w:rPr>
        <w:t>For acamprosate and naltrexone, a brief period of abstinence before initiation is not mandatory but is associated with improved outcomes</w:t>
      </w:r>
      <w:r w:rsidR="004C60EA" w:rsidRPr="00D876E3">
        <w:rPr>
          <w:rFonts w:ascii="Calibri" w:hAnsi="Calibri"/>
          <w:sz w:val="22"/>
          <w:szCs w:val="22"/>
        </w:rPr>
        <w:t xml:space="preserve"> (2</w:t>
      </w:r>
      <w:r w:rsidR="00D368B2">
        <w:rPr>
          <w:rFonts w:ascii="Calibri" w:hAnsi="Calibri"/>
          <w:sz w:val="22"/>
          <w:szCs w:val="22"/>
        </w:rPr>
        <w:t>,4</w:t>
      </w:r>
      <w:r w:rsidR="004C60EA" w:rsidRPr="00D876E3">
        <w:rPr>
          <w:rFonts w:ascii="Calibri" w:hAnsi="Calibri"/>
          <w:sz w:val="22"/>
          <w:szCs w:val="22"/>
        </w:rPr>
        <w:t>)</w:t>
      </w:r>
      <w:r w:rsidRPr="00D876E3">
        <w:rPr>
          <w:rFonts w:ascii="Calibri" w:hAnsi="Calibri"/>
          <w:sz w:val="22"/>
          <w:szCs w:val="22"/>
        </w:rPr>
        <w:t xml:space="preserve">. </w:t>
      </w:r>
    </w:p>
    <w:p w14:paraId="0BCCC98F" w14:textId="4435F9A8" w:rsidR="00D876E3" w:rsidRDefault="0017226E" w:rsidP="00791B84">
      <w:pPr>
        <w:pStyle w:val="ListParagraph"/>
        <w:numPr>
          <w:ilvl w:val="1"/>
          <w:numId w:val="6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disulfiram, abstinence before initiation and while taking the medication is required to avoid adverse effects.</w:t>
      </w:r>
    </w:p>
    <w:p w14:paraId="213DA8AD" w14:textId="1BBD01E6" w:rsidR="00D876E3" w:rsidRPr="00D876E3" w:rsidRDefault="00393ABB" w:rsidP="00791B84">
      <w:pPr>
        <w:pStyle w:val="ListParagraph"/>
        <w:numPr>
          <w:ilvl w:val="1"/>
          <w:numId w:val="6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D876E3" w:rsidRPr="00D876E3">
        <w:rPr>
          <w:rFonts w:ascii="Calibri" w:hAnsi="Calibri"/>
          <w:sz w:val="22"/>
          <w:szCs w:val="22"/>
        </w:rPr>
        <w:t>rescrib</w:t>
      </w:r>
      <w:r>
        <w:rPr>
          <w:rFonts w:ascii="Calibri" w:hAnsi="Calibri"/>
          <w:sz w:val="22"/>
          <w:szCs w:val="22"/>
        </w:rPr>
        <w:t>ing these medications</w:t>
      </w:r>
      <w:r w:rsidR="00D876E3" w:rsidRPr="00D876E3">
        <w:rPr>
          <w:rFonts w:ascii="Calibri" w:hAnsi="Calibri"/>
          <w:sz w:val="22"/>
          <w:szCs w:val="22"/>
        </w:rPr>
        <w:t xml:space="preserve"> in conjunction with a minimum of brief psychosocial counseling</w:t>
      </w:r>
      <w:r w:rsidR="00673053">
        <w:rPr>
          <w:rFonts w:ascii="Calibri" w:hAnsi="Calibri"/>
          <w:sz w:val="22"/>
          <w:szCs w:val="22"/>
        </w:rPr>
        <w:t>,</w:t>
      </w:r>
      <w:r w:rsidR="00D876E3" w:rsidRPr="00D876E3">
        <w:rPr>
          <w:rFonts w:ascii="Calibri" w:hAnsi="Calibri"/>
          <w:sz w:val="22"/>
          <w:szCs w:val="22"/>
        </w:rPr>
        <w:t xml:space="preserve"> </w:t>
      </w:r>
      <w:r w:rsidR="00B740B4">
        <w:rPr>
          <w:rFonts w:ascii="Calibri" w:hAnsi="Calibri"/>
          <w:sz w:val="22"/>
          <w:szCs w:val="22"/>
        </w:rPr>
        <w:t>such as Addiction Physician Management</w:t>
      </w:r>
      <w:r w:rsidR="00673053">
        <w:rPr>
          <w:rFonts w:ascii="Calibri" w:hAnsi="Calibri"/>
          <w:sz w:val="22"/>
          <w:szCs w:val="22"/>
        </w:rPr>
        <w:t>,</w:t>
      </w:r>
      <w:r w:rsidR="00B740B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typically results in the best outcomes </w:t>
      </w:r>
      <w:r w:rsidR="004D16BD">
        <w:rPr>
          <w:rFonts w:ascii="Calibri" w:hAnsi="Calibri"/>
          <w:sz w:val="22"/>
          <w:szCs w:val="22"/>
        </w:rPr>
        <w:t>(5</w:t>
      </w:r>
      <w:r w:rsidR="00D876E3" w:rsidRPr="00D876E3">
        <w:rPr>
          <w:rFonts w:ascii="Calibri" w:hAnsi="Calibri"/>
          <w:sz w:val="22"/>
          <w:szCs w:val="22"/>
        </w:rPr>
        <w:t xml:space="preserve">).  </w:t>
      </w:r>
    </w:p>
    <w:p w14:paraId="7E189986" w14:textId="3CFE9020" w:rsidR="00B20E80" w:rsidRPr="00D876E3" w:rsidRDefault="00D876E3" w:rsidP="00791B84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B20E80" w:rsidRPr="00D876E3">
        <w:rPr>
          <w:rFonts w:ascii="Calibri" w:hAnsi="Calibri"/>
          <w:sz w:val="22"/>
          <w:szCs w:val="22"/>
        </w:rPr>
        <w:t>on-FDA-approved medications, including gabapentin</w:t>
      </w:r>
      <w:r w:rsidR="00625993" w:rsidRPr="00D876E3">
        <w:rPr>
          <w:rFonts w:ascii="Calibri" w:hAnsi="Calibri"/>
          <w:sz w:val="22"/>
          <w:szCs w:val="22"/>
        </w:rPr>
        <w:t xml:space="preserve">, </w:t>
      </w:r>
      <w:r w:rsidR="00B20E80" w:rsidRPr="00D876E3">
        <w:rPr>
          <w:rFonts w:ascii="Calibri" w:hAnsi="Calibri"/>
          <w:sz w:val="22"/>
          <w:szCs w:val="22"/>
        </w:rPr>
        <w:t>topiramate</w:t>
      </w:r>
      <w:r w:rsidR="00625993" w:rsidRPr="00D876E3">
        <w:rPr>
          <w:rFonts w:ascii="Calibri" w:hAnsi="Calibri"/>
          <w:sz w:val="22"/>
          <w:szCs w:val="22"/>
        </w:rPr>
        <w:t>, baclofen, ondansetron, and varenicline</w:t>
      </w:r>
      <w:r w:rsidR="00B20E80" w:rsidRPr="00D876E3">
        <w:rPr>
          <w:rFonts w:ascii="Calibri" w:hAnsi="Calibri"/>
          <w:sz w:val="22"/>
          <w:szCs w:val="22"/>
        </w:rPr>
        <w:t>, have also been studied for the treatment of alcohol use disorder</w:t>
      </w:r>
      <w:r w:rsidR="0017226E">
        <w:rPr>
          <w:rFonts w:ascii="Calibri" w:hAnsi="Calibri"/>
          <w:sz w:val="22"/>
          <w:szCs w:val="22"/>
        </w:rPr>
        <w:t xml:space="preserve"> with variable outcomes.</w:t>
      </w:r>
    </w:p>
    <w:p w14:paraId="4283553B" w14:textId="77777777" w:rsidR="00F4009F" w:rsidRPr="00B249C2" w:rsidRDefault="00F4009F" w:rsidP="00791B84">
      <w:pPr>
        <w:spacing w:after="0"/>
        <w:rPr>
          <w:rFonts w:ascii="Calibri" w:hAnsi="Calibri"/>
          <w:sz w:val="22"/>
          <w:szCs w:val="22"/>
        </w:rPr>
      </w:pPr>
    </w:p>
    <w:p w14:paraId="1CD5F978" w14:textId="77777777" w:rsidR="007A0349" w:rsidRPr="00673053" w:rsidRDefault="007A0349" w:rsidP="00791B84">
      <w:pPr>
        <w:spacing w:after="0"/>
        <w:rPr>
          <w:b/>
          <w:sz w:val="24"/>
          <w:szCs w:val="22"/>
        </w:rPr>
      </w:pPr>
      <w:r w:rsidRPr="00673053">
        <w:rPr>
          <w:b/>
          <w:sz w:val="24"/>
          <w:szCs w:val="22"/>
        </w:rPr>
        <w:t>Medication Selection</w:t>
      </w:r>
    </w:p>
    <w:p w14:paraId="3DC8D9A7" w14:textId="4FC7EF59" w:rsidR="00D876E3" w:rsidRPr="00D876E3" w:rsidRDefault="00846250" w:rsidP="00791B84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2"/>
          <w:szCs w:val="22"/>
        </w:rPr>
      </w:pPr>
      <w:r w:rsidRPr="00D876E3">
        <w:rPr>
          <w:rFonts w:ascii="Calibri" w:hAnsi="Calibri"/>
          <w:sz w:val="22"/>
          <w:szCs w:val="22"/>
        </w:rPr>
        <w:t xml:space="preserve">Selecting a medication for a </w:t>
      </w:r>
      <w:r w:rsidR="00776F8C" w:rsidRPr="00D876E3">
        <w:rPr>
          <w:rFonts w:ascii="Calibri" w:hAnsi="Calibri"/>
          <w:sz w:val="22"/>
          <w:szCs w:val="22"/>
        </w:rPr>
        <w:t xml:space="preserve">particular </w:t>
      </w:r>
      <w:r w:rsidRPr="00D876E3">
        <w:rPr>
          <w:rFonts w:ascii="Calibri" w:hAnsi="Calibri"/>
          <w:sz w:val="22"/>
          <w:szCs w:val="22"/>
        </w:rPr>
        <w:t xml:space="preserve">patient should take into consideration </w:t>
      </w:r>
      <w:r w:rsidR="00BD70F4" w:rsidRPr="00D876E3">
        <w:rPr>
          <w:rFonts w:ascii="Calibri" w:hAnsi="Calibri"/>
          <w:sz w:val="22"/>
          <w:szCs w:val="22"/>
        </w:rPr>
        <w:t xml:space="preserve">specific </w:t>
      </w:r>
      <w:r w:rsidRPr="00D876E3">
        <w:rPr>
          <w:rFonts w:ascii="Calibri" w:hAnsi="Calibri"/>
          <w:sz w:val="22"/>
          <w:szCs w:val="22"/>
        </w:rPr>
        <w:t>contraindications, potential drug interactions, the patient’s past experience with</w:t>
      </w:r>
      <w:r w:rsidR="0017226E">
        <w:rPr>
          <w:rFonts w:ascii="Calibri" w:hAnsi="Calibri"/>
          <w:sz w:val="22"/>
          <w:szCs w:val="22"/>
        </w:rPr>
        <w:t xml:space="preserve"> </w:t>
      </w:r>
      <w:r w:rsidR="00B740B4">
        <w:rPr>
          <w:rFonts w:ascii="Calibri" w:hAnsi="Calibri"/>
          <w:sz w:val="22"/>
          <w:szCs w:val="22"/>
        </w:rPr>
        <w:t>medications for alcohol use disorder</w:t>
      </w:r>
      <w:r w:rsidRPr="00D876E3">
        <w:rPr>
          <w:rFonts w:ascii="Calibri" w:hAnsi="Calibri"/>
          <w:sz w:val="22"/>
          <w:szCs w:val="22"/>
        </w:rPr>
        <w:t>, level of motivation for abstinence, and history of medication adherence</w:t>
      </w:r>
      <w:r w:rsidR="00750F5D" w:rsidRPr="00D876E3">
        <w:rPr>
          <w:rFonts w:ascii="Calibri" w:hAnsi="Calibri"/>
          <w:sz w:val="22"/>
          <w:szCs w:val="22"/>
        </w:rPr>
        <w:t xml:space="preserve"> (1)</w:t>
      </w:r>
      <w:r w:rsidRPr="00D876E3">
        <w:rPr>
          <w:rFonts w:ascii="Calibri" w:hAnsi="Calibri"/>
          <w:sz w:val="22"/>
          <w:szCs w:val="22"/>
        </w:rPr>
        <w:t xml:space="preserve">.  </w:t>
      </w:r>
    </w:p>
    <w:p w14:paraId="542B9B2D" w14:textId="19AFFE14" w:rsidR="00F4009F" w:rsidRPr="00D876E3" w:rsidRDefault="00B249C2" w:rsidP="00791B84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2"/>
          <w:szCs w:val="22"/>
        </w:rPr>
      </w:pPr>
      <w:r w:rsidRPr="00D876E3">
        <w:rPr>
          <w:rFonts w:ascii="Calibri" w:hAnsi="Calibri"/>
          <w:sz w:val="22"/>
          <w:szCs w:val="22"/>
        </w:rPr>
        <w:t>Naltrexone</w:t>
      </w:r>
      <w:r w:rsidR="00F4009F" w:rsidRPr="00D876E3">
        <w:rPr>
          <w:rFonts w:ascii="Calibri" w:hAnsi="Calibri"/>
          <w:sz w:val="22"/>
          <w:szCs w:val="22"/>
        </w:rPr>
        <w:t xml:space="preserve"> has strongest evidence for improving heavy drinking outcomes </w:t>
      </w:r>
      <w:r w:rsidRPr="00D876E3">
        <w:rPr>
          <w:rFonts w:ascii="Calibri" w:hAnsi="Calibri"/>
          <w:sz w:val="22"/>
          <w:szCs w:val="22"/>
        </w:rPr>
        <w:t xml:space="preserve">(3) </w:t>
      </w:r>
      <w:r w:rsidR="00F4009F" w:rsidRPr="00D876E3">
        <w:rPr>
          <w:rFonts w:ascii="Calibri" w:hAnsi="Calibri"/>
          <w:sz w:val="22"/>
          <w:szCs w:val="22"/>
        </w:rPr>
        <w:t>and has been found to be safe and effective among patients living with HIV</w:t>
      </w:r>
      <w:r w:rsidR="004D16BD">
        <w:rPr>
          <w:rFonts w:ascii="Calibri" w:hAnsi="Calibri"/>
          <w:sz w:val="22"/>
          <w:szCs w:val="22"/>
        </w:rPr>
        <w:t xml:space="preserve"> (6,7</w:t>
      </w:r>
      <w:r w:rsidR="00D53BEE">
        <w:rPr>
          <w:rFonts w:ascii="Calibri" w:hAnsi="Calibri"/>
          <w:sz w:val="22"/>
          <w:szCs w:val="22"/>
        </w:rPr>
        <w:t>,8</w:t>
      </w:r>
      <w:r w:rsidRPr="00D876E3">
        <w:rPr>
          <w:rFonts w:ascii="Calibri" w:hAnsi="Calibri"/>
          <w:sz w:val="22"/>
          <w:szCs w:val="22"/>
        </w:rPr>
        <w:t>)</w:t>
      </w:r>
      <w:r w:rsidR="00F4009F" w:rsidRPr="00D876E3">
        <w:rPr>
          <w:rFonts w:ascii="Calibri" w:hAnsi="Calibri"/>
          <w:sz w:val="22"/>
          <w:szCs w:val="22"/>
        </w:rPr>
        <w:t xml:space="preserve">.  </w:t>
      </w:r>
    </w:p>
    <w:p w14:paraId="498D0A28" w14:textId="77777777" w:rsidR="00F4009F" w:rsidRPr="00B249C2" w:rsidRDefault="00F4009F" w:rsidP="00791B84">
      <w:pPr>
        <w:spacing w:after="0"/>
        <w:rPr>
          <w:rFonts w:ascii="Calibri" w:hAnsi="Calibri"/>
          <w:sz w:val="22"/>
          <w:szCs w:val="22"/>
        </w:rPr>
      </w:pPr>
    </w:p>
    <w:p w14:paraId="6A23B442" w14:textId="77777777" w:rsidR="007A0349" w:rsidRPr="00673053" w:rsidRDefault="007A0349" w:rsidP="00791B84">
      <w:pPr>
        <w:spacing w:after="0"/>
        <w:rPr>
          <w:b/>
          <w:sz w:val="24"/>
          <w:szCs w:val="22"/>
        </w:rPr>
      </w:pPr>
      <w:r w:rsidRPr="00673053">
        <w:rPr>
          <w:b/>
          <w:sz w:val="24"/>
          <w:szCs w:val="22"/>
        </w:rPr>
        <w:t>Initiation &amp; Monitoring</w:t>
      </w:r>
    </w:p>
    <w:p w14:paraId="70928B26" w14:textId="1336EB4D" w:rsidR="00D876E3" w:rsidRDefault="004C60EA" w:rsidP="00791B84">
      <w:pPr>
        <w:pStyle w:val="ListParagraph"/>
        <w:numPr>
          <w:ilvl w:val="0"/>
          <w:numId w:val="4"/>
        </w:numPr>
        <w:spacing w:after="0"/>
        <w:rPr>
          <w:rFonts w:ascii="Calibri" w:hAnsi="Calibri"/>
          <w:sz w:val="22"/>
          <w:szCs w:val="22"/>
        </w:rPr>
      </w:pPr>
      <w:r w:rsidRPr="00D876E3">
        <w:rPr>
          <w:rFonts w:ascii="Calibri" w:hAnsi="Calibri"/>
          <w:sz w:val="22"/>
          <w:szCs w:val="22"/>
        </w:rPr>
        <w:t>Prior to initiating a medication, providers should educate the patient about the medication being recommended</w:t>
      </w:r>
      <w:r w:rsidR="000E7BC4">
        <w:rPr>
          <w:rFonts w:ascii="Calibri" w:hAnsi="Calibri"/>
          <w:sz w:val="22"/>
          <w:szCs w:val="22"/>
        </w:rPr>
        <w:t xml:space="preserve"> (i.e., risks and benefits and alternative options)</w:t>
      </w:r>
      <w:r w:rsidR="00B740B4">
        <w:rPr>
          <w:rFonts w:ascii="Calibri" w:hAnsi="Calibri"/>
          <w:sz w:val="22"/>
          <w:szCs w:val="22"/>
        </w:rPr>
        <w:t>.</w:t>
      </w:r>
      <w:r w:rsidRPr="00D876E3">
        <w:rPr>
          <w:rFonts w:ascii="Calibri" w:hAnsi="Calibri"/>
          <w:sz w:val="22"/>
          <w:szCs w:val="22"/>
        </w:rPr>
        <w:t xml:space="preserve"> </w:t>
      </w:r>
      <w:r w:rsidR="00B740B4">
        <w:rPr>
          <w:rFonts w:ascii="Calibri" w:hAnsi="Calibri"/>
          <w:sz w:val="22"/>
          <w:szCs w:val="22"/>
        </w:rPr>
        <w:t>For certain medications, based on known cautions or contraindications</w:t>
      </w:r>
      <w:r w:rsidR="004F6CA3">
        <w:rPr>
          <w:rFonts w:ascii="Calibri" w:hAnsi="Calibri"/>
          <w:sz w:val="22"/>
          <w:szCs w:val="22"/>
        </w:rPr>
        <w:t>,</w:t>
      </w:r>
      <w:r w:rsidR="00B740B4">
        <w:rPr>
          <w:rFonts w:ascii="Calibri" w:hAnsi="Calibri"/>
          <w:sz w:val="22"/>
          <w:szCs w:val="22"/>
        </w:rPr>
        <w:t xml:space="preserve"> it may be necessary to </w:t>
      </w:r>
      <w:r w:rsidRPr="00D876E3">
        <w:rPr>
          <w:rFonts w:ascii="Calibri" w:hAnsi="Calibri"/>
          <w:sz w:val="22"/>
          <w:szCs w:val="22"/>
        </w:rPr>
        <w:t xml:space="preserve">perform a physical examination, baseline liver and kidney function tests, urine toxicology screen, </w:t>
      </w:r>
      <w:r w:rsidR="00424739">
        <w:rPr>
          <w:rFonts w:ascii="Calibri" w:hAnsi="Calibri"/>
          <w:sz w:val="22"/>
          <w:szCs w:val="22"/>
        </w:rPr>
        <w:t xml:space="preserve">electrocardiogram, </w:t>
      </w:r>
      <w:r w:rsidRPr="00D876E3">
        <w:rPr>
          <w:rFonts w:ascii="Calibri" w:hAnsi="Calibri"/>
          <w:sz w:val="22"/>
          <w:szCs w:val="22"/>
        </w:rPr>
        <w:t>and</w:t>
      </w:r>
      <w:r w:rsidR="00B740B4">
        <w:rPr>
          <w:rFonts w:ascii="Calibri" w:hAnsi="Calibri"/>
          <w:sz w:val="22"/>
          <w:szCs w:val="22"/>
        </w:rPr>
        <w:t>/or</w:t>
      </w:r>
      <w:r w:rsidRPr="00D876E3">
        <w:rPr>
          <w:rFonts w:ascii="Calibri" w:hAnsi="Calibri"/>
          <w:sz w:val="22"/>
          <w:szCs w:val="22"/>
        </w:rPr>
        <w:t xml:space="preserve"> a pregnancy test</w:t>
      </w:r>
      <w:r w:rsidR="00BD70F4" w:rsidRPr="00D876E3">
        <w:rPr>
          <w:rFonts w:ascii="Calibri" w:hAnsi="Calibri"/>
          <w:sz w:val="22"/>
          <w:szCs w:val="22"/>
        </w:rPr>
        <w:t xml:space="preserve"> in women</w:t>
      </w:r>
      <w:r w:rsidRPr="00D876E3">
        <w:rPr>
          <w:rFonts w:ascii="Calibri" w:hAnsi="Calibri"/>
          <w:sz w:val="22"/>
          <w:szCs w:val="22"/>
        </w:rPr>
        <w:t xml:space="preserve"> (1). </w:t>
      </w:r>
      <w:r w:rsidR="00EC5F11" w:rsidRPr="00D876E3">
        <w:rPr>
          <w:rFonts w:ascii="Calibri" w:hAnsi="Calibri"/>
          <w:sz w:val="22"/>
          <w:szCs w:val="22"/>
        </w:rPr>
        <w:t xml:space="preserve"> </w:t>
      </w:r>
    </w:p>
    <w:p w14:paraId="092C8C02" w14:textId="76897C9B" w:rsidR="004D16BD" w:rsidRPr="00791B84" w:rsidRDefault="00EC5F11" w:rsidP="00791B84">
      <w:pPr>
        <w:pStyle w:val="ListParagraph"/>
        <w:numPr>
          <w:ilvl w:val="0"/>
          <w:numId w:val="4"/>
        </w:numPr>
        <w:spacing w:after="0"/>
        <w:rPr>
          <w:rFonts w:ascii="Calibri" w:hAnsi="Calibri"/>
          <w:sz w:val="22"/>
          <w:szCs w:val="22"/>
        </w:rPr>
      </w:pPr>
      <w:r w:rsidRPr="00D876E3">
        <w:rPr>
          <w:rFonts w:ascii="Calibri" w:hAnsi="Calibri"/>
          <w:sz w:val="22"/>
          <w:szCs w:val="22"/>
        </w:rPr>
        <w:t xml:space="preserve">Patients should receive ongoing monitoring for alcohol use and response to treatment, as well as for any associated medical, psychiatric, and behavioral adverse effects (2).  </w:t>
      </w:r>
      <w:r w:rsidR="00F4009F" w:rsidRPr="00D876E3">
        <w:rPr>
          <w:rFonts w:ascii="Calibri" w:hAnsi="Calibri"/>
          <w:sz w:val="22"/>
          <w:szCs w:val="22"/>
        </w:rPr>
        <w:t xml:space="preserve">Periodic </w:t>
      </w:r>
      <w:r w:rsidR="00B740B4">
        <w:rPr>
          <w:rFonts w:ascii="Calibri" w:hAnsi="Calibri"/>
          <w:sz w:val="22"/>
          <w:szCs w:val="22"/>
        </w:rPr>
        <w:t xml:space="preserve">and symptom driven </w:t>
      </w:r>
      <w:r w:rsidR="00F4009F" w:rsidRPr="00D876E3">
        <w:rPr>
          <w:rFonts w:ascii="Calibri" w:hAnsi="Calibri"/>
          <w:sz w:val="22"/>
          <w:szCs w:val="22"/>
        </w:rPr>
        <w:t xml:space="preserve">testing </w:t>
      </w:r>
      <w:r w:rsidR="00B249C2" w:rsidRPr="00D876E3">
        <w:rPr>
          <w:rFonts w:ascii="Calibri" w:hAnsi="Calibri"/>
          <w:sz w:val="22"/>
          <w:szCs w:val="22"/>
        </w:rPr>
        <w:t>of liver function</w:t>
      </w:r>
      <w:r w:rsidR="00F4009F" w:rsidRPr="00D876E3">
        <w:rPr>
          <w:rFonts w:ascii="Calibri" w:hAnsi="Calibri"/>
          <w:sz w:val="22"/>
          <w:szCs w:val="22"/>
        </w:rPr>
        <w:t xml:space="preserve"> is appropriate </w:t>
      </w:r>
      <w:r w:rsidR="00B249C2" w:rsidRPr="00D876E3">
        <w:rPr>
          <w:rFonts w:ascii="Calibri" w:hAnsi="Calibri"/>
          <w:sz w:val="22"/>
          <w:szCs w:val="22"/>
        </w:rPr>
        <w:t>for patients receiving naltrexone (2)</w:t>
      </w:r>
      <w:r w:rsidR="00F4009F" w:rsidRPr="00D876E3">
        <w:rPr>
          <w:rFonts w:ascii="Calibri" w:hAnsi="Calibri"/>
          <w:sz w:val="22"/>
          <w:szCs w:val="22"/>
        </w:rPr>
        <w:t xml:space="preserve">. </w:t>
      </w:r>
    </w:p>
    <w:p w14:paraId="51211852" w14:textId="77777777" w:rsidR="007A0349" w:rsidRPr="00673053" w:rsidRDefault="007A0349" w:rsidP="00791B84">
      <w:pPr>
        <w:spacing w:after="0"/>
        <w:rPr>
          <w:b/>
          <w:sz w:val="24"/>
          <w:szCs w:val="22"/>
        </w:rPr>
      </w:pPr>
      <w:r w:rsidRPr="00673053">
        <w:rPr>
          <w:b/>
          <w:sz w:val="24"/>
          <w:szCs w:val="22"/>
        </w:rPr>
        <w:lastRenderedPageBreak/>
        <w:t>Treatment Duration</w:t>
      </w:r>
    </w:p>
    <w:p w14:paraId="571C8C8F" w14:textId="77777777" w:rsidR="00D876E3" w:rsidRDefault="0099232D" w:rsidP="00791B84">
      <w:pPr>
        <w:pStyle w:val="ListParagraph"/>
        <w:numPr>
          <w:ilvl w:val="0"/>
          <w:numId w:val="5"/>
        </w:numPr>
        <w:spacing w:after="0"/>
        <w:rPr>
          <w:rFonts w:ascii="Calibri" w:hAnsi="Calibri"/>
          <w:sz w:val="22"/>
          <w:szCs w:val="22"/>
        </w:rPr>
      </w:pPr>
      <w:r w:rsidRPr="00D876E3">
        <w:rPr>
          <w:rFonts w:ascii="Calibri" w:hAnsi="Calibri"/>
          <w:sz w:val="22"/>
          <w:szCs w:val="22"/>
        </w:rPr>
        <w:t xml:space="preserve">The optimal duration of treatment with these medications is not known, but some evidence supports continuing treatment for at least six months to one year (1). </w:t>
      </w:r>
    </w:p>
    <w:p w14:paraId="1CDB6EC9" w14:textId="77777777" w:rsidR="001348A5" w:rsidRDefault="00D876E3" w:rsidP="00791B84">
      <w:pPr>
        <w:pStyle w:val="ListParagraph"/>
        <w:numPr>
          <w:ilvl w:val="0"/>
          <w:numId w:val="5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99232D" w:rsidRPr="00D876E3">
        <w:rPr>
          <w:rFonts w:ascii="Calibri" w:hAnsi="Calibri"/>
          <w:sz w:val="22"/>
          <w:szCs w:val="22"/>
        </w:rPr>
        <w:t xml:space="preserve">ertain patients may benefit from short periods of treatment during anticipated stressful situations that may elicit cravings for alcohol (i.e. prescribing disulfiram or naltrexone to use </w:t>
      </w:r>
      <w:r w:rsidR="00142CBC" w:rsidRPr="00D876E3">
        <w:rPr>
          <w:rFonts w:ascii="Calibri" w:hAnsi="Calibri"/>
          <w:sz w:val="22"/>
          <w:szCs w:val="22"/>
        </w:rPr>
        <w:t xml:space="preserve">while visiting family or friends who drink excessively).  </w:t>
      </w:r>
    </w:p>
    <w:p w14:paraId="49CCD8E6" w14:textId="26762772" w:rsidR="00BE46B6" w:rsidRPr="004F6CA3" w:rsidRDefault="00776F8C" w:rsidP="00791B84">
      <w:pPr>
        <w:pStyle w:val="ListParagraph"/>
        <w:numPr>
          <w:ilvl w:val="0"/>
          <w:numId w:val="5"/>
        </w:numPr>
        <w:spacing w:after="0"/>
        <w:rPr>
          <w:rFonts w:ascii="Calibri" w:hAnsi="Calibri"/>
          <w:sz w:val="22"/>
          <w:szCs w:val="22"/>
        </w:rPr>
      </w:pPr>
      <w:r w:rsidRPr="001348A5">
        <w:rPr>
          <w:rFonts w:ascii="Calibri" w:hAnsi="Calibri"/>
          <w:sz w:val="22"/>
          <w:szCs w:val="22"/>
        </w:rPr>
        <w:t>If</w:t>
      </w:r>
      <w:r w:rsidR="009F7158" w:rsidRPr="001348A5">
        <w:rPr>
          <w:rFonts w:ascii="Calibri" w:hAnsi="Calibri"/>
          <w:sz w:val="22"/>
          <w:szCs w:val="22"/>
        </w:rPr>
        <w:t xml:space="preserve"> o</w:t>
      </w:r>
      <w:r w:rsidR="00EC5F11" w:rsidRPr="001348A5">
        <w:rPr>
          <w:rFonts w:ascii="Calibri" w:hAnsi="Calibri"/>
          <w:sz w:val="22"/>
          <w:szCs w:val="22"/>
        </w:rPr>
        <w:t>ffice-based treatment is not effective</w:t>
      </w:r>
      <w:r w:rsidR="009F7158" w:rsidRPr="001348A5">
        <w:rPr>
          <w:rFonts w:ascii="Calibri" w:hAnsi="Calibri"/>
          <w:sz w:val="22"/>
          <w:szCs w:val="22"/>
        </w:rPr>
        <w:t xml:space="preserve"> or the provider lacks adequate resources to meet a particular patient’s needs</w:t>
      </w:r>
      <w:r w:rsidRPr="001348A5">
        <w:rPr>
          <w:rFonts w:ascii="Calibri" w:hAnsi="Calibri"/>
          <w:sz w:val="22"/>
          <w:szCs w:val="22"/>
        </w:rPr>
        <w:t>, referral to more intensive or specialty care</w:t>
      </w:r>
      <w:r w:rsidR="00625993" w:rsidRPr="001348A5">
        <w:rPr>
          <w:rFonts w:ascii="Calibri" w:hAnsi="Calibri"/>
          <w:sz w:val="22"/>
          <w:szCs w:val="22"/>
        </w:rPr>
        <w:t xml:space="preserve"> is appropriate</w:t>
      </w:r>
      <w:r w:rsidRPr="001348A5">
        <w:rPr>
          <w:rFonts w:ascii="Calibri" w:hAnsi="Calibri"/>
          <w:sz w:val="22"/>
          <w:szCs w:val="22"/>
        </w:rPr>
        <w:t xml:space="preserve"> </w:t>
      </w:r>
      <w:r w:rsidR="009F7158" w:rsidRPr="001348A5">
        <w:rPr>
          <w:rFonts w:ascii="Calibri" w:hAnsi="Calibri"/>
          <w:sz w:val="22"/>
          <w:szCs w:val="22"/>
        </w:rPr>
        <w:t xml:space="preserve">(1,2). </w:t>
      </w:r>
    </w:p>
    <w:p w14:paraId="52A9DEBF" w14:textId="77777777" w:rsidR="00BE46B6" w:rsidRPr="00B249C2" w:rsidRDefault="00BE46B6">
      <w:pPr>
        <w:rPr>
          <w:rFonts w:ascii="Calibri" w:hAnsi="Calibri"/>
          <w:sz w:val="22"/>
        </w:rPr>
      </w:pPr>
    </w:p>
    <w:p w14:paraId="0BA0E921" w14:textId="371C55DB" w:rsidR="007C6870" w:rsidRPr="00673053" w:rsidRDefault="007C6870">
      <w:pPr>
        <w:rPr>
          <w:b/>
          <w:sz w:val="24"/>
        </w:rPr>
      </w:pPr>
      <w:r w:rsidRPr="00673053">
        <w:rPr>
          <w:b/>
          <w:sz w:val="24"/>
        </w:rPr>
        <w:t>Table 1. FDA-approved Medications for Alcohol Use Disorder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5"/>
        <w:gridCol w:w="1063"/>
        <w:gridCol w:w="1800"/>
        <w:gridCol w:w="2700"/>
        <w:gridCol w:w="1890"/>
        <w:gridCol w:w="2160"/>
      </w:tblGrid>
      <w:tr w:rsidR="00791B84" w:rsidRPr="00B249C2" w14:paraId="72A18A79" w14:textId="7A568A72" w:rsidTr="00791B84">
        <w:tc>
          <w:tcPr>
            <w:tcW w:w="1385" w:type="dxa"/>
          </w:tcPr>
          <w:p w14:paraId="4E19EB9D" w14:textId="1FED9642" w:rsidR="00981233" w:rsidRPr="00791B84" w:rsidRDefault="00981233" w:rsidP="004F6CA3">
            <w:pPr>
              <w:spacing w:after="120"/>
              <w:rPr>
                <w:rFonts w:ascii="Calibri" w:hAnsi="Calibri"/>
                <w:b/>
                <w:i/>
                <w:sz w:val="20"/>
              </w:rPr>
            </w:pPr>
            <w:r w:rsidRPr="00791B84">
              <w:rPr>
                <w:rFonts w:ascii="Calibri" w:hAnsi="Calibri"/>
                <w:b/>
                <w:i/>
                <w:sz w:val="20"/>
              </w:rPr>
              <w:t>Medication (Typical Dosage)</w:t>
            </w:r>
          </w:p>
        </w:tc>
        <w:tc>
          <w:tcPr>
            <w:tcW w:w="1063" w:type="dxa"/>
          </w:tcPr>
          <w:p w14:paraId="5370C112" w14:textId="78AA1FF0" w:rsidR="00981233" w:rsidRPr="00791B84" w:rsidRDefault="00981233" w:rsidP="004F6CA3">
            <w:pPr>
              <w:spacing w:after="120"/>
              <w:rPr>
                <w:rFonts w:ascii="Calibri" w:hAnsi="Calibri"/>
                <w:b/>
                <w:i/>
                <w:sz w:val="20"/>
              </w:rPr>
            </w:pPr>
            <w:r w:rsidRPr="00791B84">
              <w:rPr>
                <w:rFonts w:ascii="Calibri" w:hAnsi="Calibri"/>
                <w:b/>
                <w:i/>
                <w:sz w:val="20"/>
              </w:rPr>
              <w:t>Indication</w:t>
            </w:r>
          </w:p>
        </w:tc>
        <w:tc>
          <w:tcPr>
            <w:tcW w:w="1800" w:type="dxa"/>
          </w:tcPr>
          <w:p w14:paraId="27ABC3FB" w14:textId="319842B5" w:rsidR="00981233" w:rsidRPr="00791B84" w:rsidRDefault="00981233" w:rsidP="004F6CA3">
            <w:pPr>
              <w:spacing w:after="120"/>
              <w:rPr>
                <w:rFonts w:ascii="Calibri" w:hAnsi="Calibri"/>
                <w:b/>
                <w:i/>
                <w:sz w:val="20"/>
              </w:rPr>
            </w:pPr>
            <w:r w:rsidRPr="00791B84">
              <w:rPr>
                <w:rFonts w:ascii="Calibri" w:hAnsi="Calibri"/>
                <w:b/>
                <w:i/>
                <w:sz w:val="20"/>
              </w:rPr>
              <w:t>Mechanism</w:t>
            </w:r>
          </w:p>
        </w:tc>
        <w:tc>
          <w:tcPr>
            <w:tcW w:w="2700" w:type="dxa"/>
          </w:tcPr>
          <w:p w14:paraId="038A3201" w14:textId="02C85441" w:rsidR="00981233" w:rsidRPr="00791B84" w:rsidRDefault="00981233" w:rsidP="004F6CA3">
            <w:pPr>
              <w:spacing w:after="120"/>
              <w:rPr>
                <w:rFonts w:ascii="Calibri" w:hAnsi="Calibri"/>
                <w:b/>
                <w:i/>
                <w:sz w:val="20"/>
              </w:rPr>
            </w:pPr>
            <w:r w:rsidRPr="00791B84">
              <w:rPr>
                <w:rFonts w:ascii="Calibri" w:hAnsi="Calibri"/>
                <w:b/>
                <w:i/>
                <w:sz w:val="20"/>
              </w:rPr>
              <w:t>Adverse Effects</w:t>
            </w:r>
          </w:p>
        </w:tc>
        <w:tc>
          <w:tcPr>
            <w:tcW w:w="1890" w:type="dxa"/>
          </w:tcPr>
          <w:p w14:paraId="67ACFE38" w14:textId="0313B700" w:rsidR="00981233" w:rsidRPr="00791B84" w:rsidRDefault="00791B84" w:rsidP="004F6CA3">
            <w:pPr>
              <w:spacing w:after="120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 xml:space="preserve">Contraindications &amp; </w:t>
            </w:r>
            <w:r w:rsidR="00981233" w:rsidRPr="00791B84">
              <w:rPr>
                <w:rFonts w:ascii="Calibri" w:hAnsi="Calibri"/>
                <w:b/>
                <w:i/>
                <w:sz w:val="20"/>
              </w:rPr>
              <w:t>Cautions</w:t>
            </w:r>
          </w:p>
        </w:tc>
        <w:tc>
          <w:tcPr>
            <w:tcW w:w="2160" w:type="dxa"/>
          </w:tcPr>
          <w:p w14:paraId="650A428E" w14:textId="31F5DE4C" w:rsidR="00981233" w:rsidRPr="00791B84" w:rsidRDefault="00981233" w:rsidP="004F6CA3">
            <w:pPr>
              <w:spacing w:after="120"/>
              <w:rPr>
                <w:rFonts w:ascii="Calibri" w:hAnsi="Calibri"/>
                <w:b/>
                <w:i/>
                <w:sz w:val="20"/>
              </w:rPr>
            </w:pPr>
            <w:r w:rsidRPr="00791B84">
              <w:rPr>
                <w:rFonts w:ascii="Calibri" w:hAnsi="Calibri"/>
                <w:b/>
                <w:i/>
                <w:sz w:val="20"/>
              </w:rPr>
              <w:t>Notes</w:t>
            </w:r>
          </w:p>
        </w:tc>
      </w:tr>
      <w:tr w:rsidR="00791B84" w:rsidRPr="00B249C2" w14:paraId="297DBC6C" w14:textId="55A82743" w:rsidTr="00791B84">
        <w:tc>
          <w:tcPr>
            <w:tcW w:w="1385" w:type="dxa"/>
          </w:tcPr>
          <w:p w14:paraId="3A4A45E2" w14:textId="3CEDB314" w:rsidR="00981233" w:rsidRPr="00B249C2" w:rsidRDefault="00981233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 xml:space="preserve">Naltrexone (oral 50-100 mg daily or </w:t>
            </w:r>
            <w:r w:rsidR="00424739">
              <w:rPr>
                <w:rFonts w:ascii="Calibri" w:hAnsi="Calibri"/>
                <w:sz w:val="18"/>
              </w:rPr>
              <w:t xml:space="preserve">intramuscular </w:t>
            </w:r>
            <w:r w:rsidRPr="00B249C2">
              <w:rPr>
                <w:rFonts w:ascii="Calibri" w:hAnsi="Calibri"/>
                <w:sz w:val="18"/>
              </w:rPr>
              <w:t>injectable 380 mg monthly)</w:t>
            </w:r>
          </w:p>
        </w:tc>
        <w:tc>
          <w:tcPr>
            <w:tcW w:w="1063" w:type="dxa"/>
          </w:tcPr>
          <w:p w14:paraId="4E67C7BE" w14:textId="21F038C8" w:rsidR="00981233" w:rsidRPr="00B249C2" w:rsidRDefault="00981233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>Relapse prevention</w:t>
            </w:r>
          </w:p>
        </w:tc>
        <w:tc>
          <w:tcPr>
            <w:tcW w:w="1800" w:type="dxa"/>
          </w:tcPr>
          <w:p w14:paraId="7E66994A" w14:textId="70CC7797" w:rsidR="00981233" w:rsidRPr="00B249C2" w:rsidRDefault="00981233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>Opioid antagonist that may reduce the subjective reward associated with alcohol use</w:t>
            </w:r>
            <w:r w:rsidR="004F6CA3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2700" w:type="dxa"/>
          </w:tcPr>
          <w:p w14:paraId="5A54F982" w14:textId="5DB37E9D" w:rsidR="00981233" w:rsidRPr="00B249C2" w:rsidRDefault="00981233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>Nausea, indigestion, headache, fatigue</w:t>
            </w:r>
            <w:r w:rsidR="00424739">
              <w:rPr>
                <w:rFonts w:ascii="Calibri" w:hAnsi="Calibri"/>
                <w:sz w:val="18"/>
              </w:rPr>
              <w:t>, dizziness, insomnia, anxiety, somnolence</w:t>
            </w:r>
            <w:r w:rsidRPr="00B249C2">
              <w:rPr>
                <w:rFonts w:ascii="Calibri" w:hAnsi="Calibri"/>
                <w:sz w:val="18"/>
              </w:rPr>
              <w:t>.</w:t>
            </w:r>
          </w:p>
          <w:p w14:paraId="08F4DD67" w14:textId="77777777" w:rsidR="00981233" w:rsidRPr="00B249C2" w:rsidRDefault="00981233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>Depression and suicidal ideation.</w:t>
            </w:r>
          </w:p>
          <w:p w14:paraId="34DE757C" w14:textId="77777777" w:rsidR="00981233" w:rsidRPr="00B249C2" w:rsidRDefault="00981233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>Rarely medication-associated hepatitis.</w:t>
            </w:r>
          </w:p>
          <w:p w14:paraId="4A0D47B1" w14:textId="77777777" w:rsidR="00981233" w:rsidRDefault="00981233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>Potential for precipitated withdrawal if opioids present.</w:t>
            </w:r>
          </w:p>
          <w:p w14:paraId="4113A0D9" w14:textId="3EC7F00D" w:rsidR="00424739" w:rsidRPr="00B249C2" w:rsidRDefault="00424739" w:rsidP="004F6CA3">
            <w:pPr>
              <w:spacing w:after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Injection-site reactions, asthenia, and rarely eosinophilic pneumonia with injectable formulation.</w:t>
            </w:r>
          </w:p>
        </w:tc>
        <w:tc>
          <w:tcPr>
            <w:tcW w:w="1890" w:type="dxa"/>
          </w:tcPr>
          <w:p w14:paraId="72B75906" w14:textId="21919554" w:rsidR="00981233" w:rsidRPr="00B249C2" w:rsidRDefault="00981233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>Current opioid use.</w:t>
            </w:r>
          </w:p>
          <w:p w14:paraId="2781A8DB" w14:textId="77777777" w:rsidR="00981233" w:rsidRPr="00B249C2" w:rsidRDefault="00981233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>Decompensated cirrhosis, liver functions tests &gt;5 times the upper limit of normal.</w:t>
            </w:r>
          </w:p>
          <w:p w14:paraId="3697ED70" w14:textId="77777777" w:rsidR="00981233" w:rsidRDefault="00981233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>Use with caution with compensated cirrhosis.</w:t>
            </w:r>
          </w:p>
          <w:p w14:paraId="290E6D24" w14:textId="0326F93C" w:rsidR="00D368B2" w:rsidRPr="00B249C2" w:rsidRDefault="00D368B2" w:rsidP="004F6CA3">
            <w:pPr>
              <w:spacing w:after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Inadequate muscle mass for injectable formulation.</w:t>
            </w:r>
          </w:p>
        </w:tc>
        <w:tc>
          <w:tcPr>
            <w:tcW w:w="2160" w:type="dxa"/>
          </w:tcPr>
          <w:p w14:paraId="38E5BAC9" w14:textId="77777777" w:rsidR="00981233" w:rsidRDefault="00981233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>Consider injectable formulation if medication adherence is a concern.</w:t>
            </w:r>
          </w:p>
          <w:p w14:paraId="2EF721D6" w14:textId="462FE603" w:rsidR="00D368B2" w:rsidRPr="00B249C2" w:rsidRDefault="00D368B2" w:rsidP="00D368B2">
            <w:pPr>
              <w:spacing w:after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791B84" w:rsidRPr="00B249C2" w14:paraId="76E39582" w14:textId="59D9E92E" w:rsidTr="00791B84">
        <w:tc>
          <w:tcPr>
            <w:tcW w:w="1385" w:type="dxa"/>
          </w:tcPr>
          <w:p w14:paraId="57B23381" w14:textId="3437B02D" w:rsidR="00981233" w:rsidRPr="00B249C2" w:rsidRDefault="00981233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>Acamprosate (666 mg three times daily)</w:t>
            </w:r>
          </w:p>
        </w:tc>
        <w:tc>
          <w:tcPr>
            <w:tcW w:w="1063" w:type="dxa"/>
          </w:tcPr>
          <w:p w14:paraId="6A6EC583" w14:textId="680667C3" w:rsidR="00981233" w:rsidRPr="00B249C2" w:rsidRDefault="00981233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>Relapse prevention</w:t>
            </w:r>
          </w:p>
        </w:tc>
        <w:tc>
          <w:tcPr>
            <w:tcW w:w="1800" w:type="dxa"/>
          </w:tcPr>
          <w:p w14:paraId="369C10C7" w14:textId="5E0E973A" w:rsidR="00981233" w:rsidRPr="00B249C2" w:rsidRDefault="00981233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>May antagonize glutamate-mediated neuronal hyperexcitability and reduce prolonged (but not acute) withdrawal symptoms</w:t>
            </w:r>
            <w:r w:rsidR="004F6CA3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2700" w:type="dxa"/>
          </w:tcPr>
          <w:p w14:paraId="71FF55BA" w14:textId="1E904FA2" w:rsidR="004F6CA3" w:rsidRDefault="00981233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 xml:space="preserve">Diarrhea, </w:t>
            </w:r>
            <w:r w:rsidR="00424739">
              <w:rPr>
                <w:rFonts w:ascii="Calibri" w:hAnsi="Calibri"/>
                <w:sz w:val="18"/>
              </w:rPr>
              <w:t xml:space="preserve">anxiety, asthenia, </w:t>
            </w:r>
            <w:r w:rsidR="00D55D60">
              <w:rPr>
                <w:rFonts w:ascii="Calibri" w:hAnsi="Calibri"/>
                <w:sz w:val="18"/>
              </w:rPr>
              <w:t xml:space="preserve">depression, suicidality, anxiety, </w:t>
            </w:r>
            <w:r w:rsidRPr="00B249C2">
              <w:rPr>
                <w:rFonts w:ascii="Calibri" w:hAnsi="Calibri"/>
                <w:sz w:val="18"/>
              </w:rPr>
              <w:t xml:space="preserve">nausea/vomiting, myalgia, rash, dizziness, palpitations. </w:t>
            </w:r>
          </w:p>
          <w:p w14:paraId="1C3C6222" w14:textId="6B88B229" w:rsidR="00981233" w:rsidRPr="00B249C2" w:rsidRDefault="00981233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 xml:space="preserve">Rarely associated with renal impairment. </w:t>
            </w:r>
          </w:p>
        </w:tc>
        <w:tc>
          <w:tcPr>
            <w:tcW w:w="1890" w:type="dxa"/>
          </w:tcPr>
          <w:p w14:paraId="538D82E6" w14:textId="76D91156" w:rsidR="00981233" w:rsidRPr="00B249C2" w:rsidRDefault="00D368B2" w:rsidP="004F6CA3">
            <w:pPr>
              <w:spacing w:after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Severe r</w:t>
            </w:r>
            <w:r w:rsidRPr="00B249C2">
              <w:rPr>
                <w:rFonts w:ascii="Calibri" w:hAnsi="Calibri"/>
                <w:sz w:val="18"/>
              </w:rPr>
              <w:t xml:space="preserve">enal </w:t>
            </w:r>
            <w:r w:rsidR="00981233" w:rsidRPr="00B249C2">
              <w:rPr>
                <w:rFonts w:ascii="Calibri" w:hAnsi="Calibri"/>
                <w:sz w:val="18"/>
              </w:rPr>
              <w:t>insufficiency CrCl &lt;30; dose reduce to 333 mg TID for CrCl 30-50.</w:t>
            </w:r>
          </w:p>
        </w:tc>
        <w:tc>
          <w:tcPr>
            <w:tcW w:w="2160" w:type="dxa"/>
          </w:tcPr>
          <w:p w14:paraId="6922D008" w14:textId="77777777" w:rsidR="00981233" w:rsidRPr="00B249C2" w:rsidRDefault="00981233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 xml:space="preserve">May be used with naltrexone. </w:t>
            </w:r>
          </w:p>
          <w:p w14:paraId="082E0A04" w14:textId="77777777" w:rsidR="00981233" w:rsidRDefault="00981233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>Medication adherence may be challenging.</w:t>
            </w:r>
          </w:p>
          <w:p w14:paraId="17D36CC5" w14:textId="0C7F85A6" w:rsidR="00D368B2" w:rsidRPr="00B249C2" w:rsidRDefault="00424739" w:rsidP="004F6CA3">
            <w:pPr>
              <w:spacing w:after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Monitor for depression/suicidality.</w:t>
            </w:r>
          </w:p>
        </w:tc>
      </w:tr>
      <w:tr w:rsidR="00791B84" w:rsidRPr="00B249C2" w14:paraId="7F58E153" w14:textId="250079FD" w:rsidTr="00791B84">
        <w:tc>
          <w:tcPr>
            <w:tcW w:w="1385" w:type="dxa"/>
          </w:tcPr>
          <w:p w14:paraId="13EB81E8" w14:textId="29A2C14F" w:rsidR="00981233" w:rsidRPr="00B249C2" w:rsidRDefault="00981233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>Disulfiram (250-500 mg daily)</w:t>
            </w:r>
          </w:p>
        </w:tc>
        <w:tc>
          <w:tcPr>
            <w:tcW w:w="1063" w:type="dxa"/>
          </w:tcPr>
          <w:p w14:paraId="4CE3677D" w14:textId="189D7D88" w:rsidR="00981233" w:rsidRPr="00B249C2" w:rsidRDefault="00981233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>Drinking and relapse prevention</w:t>
            </w:r>
          </w:p>
        </w:tc>
        <w:tc>
          <w:tcPr>
            <w:tcW w:w="1800" w:type="dxa"/>
          </w:tcPr>
          <w:p w14:paraId="4B0607D1" w14:textId="6E8777DF" w:rsidR="00981233" w:rsidRPr="00B249C2" w:rsidRDefault="00981233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>Inhibits aldehyde dehydrogenase resulting in accumulation of acetaldehyde with alcohol use</w:t>
            </w:r>
            <w:r w:rsidR="007C6870" w:rsidRPr="00B249C2">
              <w:rPr>
                <w:rFonts w:ascii="Calibri" w:hAnsi="Calibri"/>
                <w:sz w:val="18"/>
              </w:rPr>
              <w:t>, leading to unpleasant symptoms (i.e. disulfiram-ethanol reaction)</w:t>
            </w:r>
            <w:r w:rsidR="004F6CA3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2700" w:type="dxa"/>
          </w:tcPr>
          <w:p w14:paraId="7627B6D1" w14:textId="214BC77B" w:rsidR="004F6CA3" w:rsidRDefault="007C6870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 xml:space="preserve">Drowsiness, </w:t>
            </w:r>
            <w:r w:rsidR="00D55D60">
              <w:rPr>
                <w:rFonts w:ascii="Calibri" w:hAnsi="Calibri"/>
                <w:sz w:val="18"/>
              </w:rPr>
              <w:t xml:space="preserve">metallic taste, headache, </w:t>
            </w:r>
            <w:r w:rsidRPr="00B249C2">
              <w:rPr>
                <w:rFonts w:ascii="Calibri" w:hAnsi="Calibri"/>
                <w:sz w:val="18"/>
              </w:rPr>
              <w:t xml:space="preserve">rash. </w:t>
            </w:r>
          </w:p>
          <w:p w14:paraId="4166BBDC" w14:textId="7330740D" w:rsidR="00981233" w:rsidRPr="00B249C2" w:rsidRDefault="007C6870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>Rarely medication-associated severe hepatotoxicity, optic neuritis, peripheral neuropathy</w:t>
            </w:r>
            <w:r w:rsidR="00D55D60">
              <w:rPr>
                <w:rFonts w:ascii="Calibri" w:hAnsi="Calibri"/>
                <w:sz w:val="18"/>
              </w:rPr>
              <w:t>, psychosis, delirium, severe disulfiram-ethanol reaction</w:t>
            </w:r>
            <w:r w:rsidRPr="00B249C2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890" w:type="dxa"/>
          </w:tcPr>
          <w:p w14:paraId="58198230" w14:textId="77777777" w:rsidR="00981233" w:rsidRPr="00B249C2" w:rsidRDefault="007C6870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>Presence of alcohol.</w:t>
            </w:r>
          </w:p>
          <w:p w14:paraId="43C87D92" w14:textId="007B17F1" w:rsidR="007C6870" w:rsidRDefault="007C6870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>Severe cardiovascular</w:t>
            </w:r>
            <w:r w:rsidR="00D368B2">
              <w:rPr>
                <w:rFonts w:ascii="Calibri" w:hAnsi="Calibri"/>
                <w:sz w:val="18"/>
              </w:rPr>
              <w:t>, respiratory, or renal</w:t>
            </w:r>
            <w:r w:rsidRPr="00B249C2">
              <w:rPr>
                <w:rFonts w:ascii="Calibri" w:hAnsi="Calibri"/>
                <w:sz w:val="18"/>
              </w:rPr>
              <w:t xml:space="preserve"> disease</w:t>
            </w:r>
            <w:r w:rsidR="00D368B2">
              <w:rPr>
                <w:rFonts w:ascii="Calibri" w:hAnsi="Calibri"/>
                <w:sz w:val="18"/>
              </w:rPr>
              <w:t>,</w:t>
            </w:r>
            <w:r w:rsidRPr="00B249C2">
              <w:rPr>
                <w:rFonts w:ascii="Calibri" w:hAnsi="Calibri"/>
                <w:sz w:val="18"/>
              </w:rPr>
              <w:t xml:space="preserve"> hepatic impairment</w:t>
            </w:r>
            <w:r w:rsidR="00D368B2">
              <w:rPr>
                <w:rFonts w:ascii="Calibri" w:hAnsi="Calibri"/>
                <w:sz w:val="18"/>
              </w:rPr>
              <w:t>, and psychiatric disorders</w:t>
            </w:r>
            <w:r w:rsidRPr="00B249C2">
              <w:rPr>
                <w:rFonts w:ascii="Calibri" w:hAnsi="Calibri"/>
                <w:sz w:val="18"/>
              </w:rPr>
              <w:t xml:space="preserve">. </w:t>
            </w:r>
          </w:p>
          <w:p w14:paraId="1D41C615" w14:textId="1BDC68AA" w:rsidR="00D368B2" w:rsidRPr="00B249C2" w:rsidRDefault="00D368B2" w:rsidP="004F6CA3">
            <w:pPr>
              <w:spacing w:after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Combination with metronidazole or ketoconazole</w:t>
            </w:r>
          </w:p>
        </w:tc>
        <w:tc>
          <w:tcPr>
            <w:tcW w:w="2160" w:type="dxa"/>
          </w:tcPr>
          <w:p w14:paraId="6D4700D4" w14:textId="77777777" w:rsidR="00981233" w:rsidRPr="00B249C2" w:rsidRDefault="007C6870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 xml:space="preserve">Patient must be abstinent for at least 12 hours before administration. </w:t>
            </w:r>
          </w:p>
          <w:p w14:paraId="55C638FE" w14:textId="77777777" w:rsidR="007C6870" w:rsidRPr="00B249C2" w:rsidRDefault="007C6870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 xml:space="preserve">Potential for many medication-medication interactions. </w:t>
            </w:r>
          </w:p>
          <w:p w14:paraId="1E54B023" w14:textId="02D04983" w:rsidR="007C6870" w:rsidRPr="00B249C2" w:rsidRDefault="007C6870" w:rsidP="004F6CA3">
            <w:pPr>
              <w:spacing w:after="120"/>
              <w:rPr>
                <w:rFonts w:ascii="Calibri" w:hAnsi="Calibri"/>
                <w:sz w:val="18"/>
              </w:rPr>
            </w:pPr>
            <w:r w:rsidRPr="00B249C2">
              <w:rPr>
                <w:rFonts w:ascii="Calibri" w:hAnsi="Calibri"/>
                <w:sz w:val="18"/>
              </w:rPr>
              <w:t xml:space="preserve">Most appropriate for patients with strong motivation to be abstinent and with support to promote medication adherence. </w:t>
            </w:r>
          </w:p>
        </w:tc>
      </w:tr>
    </w:tbl>
    <w:p w14:paraId="137E37AE" w14:textId="77777777" w:rsidR="00791B84" w:rsidRDefault="00791B84">
      <w:pPr>
        <w:rPr>
          <w:rFonts w:ascii="Calibri" w:hAnsi="Calibri"/>
          <w:sz w:val="22"/>
        </w:rPr>
      </w:pPr>
    </w:p>
    <w:p w14:paraId="2955387F" w14:textId="6139D768" w:rsidR="00F31D02" w:rsidRPr="00673053" w:rsidRDefault="00F31D02">
      <w:pPr>
        <w:rPr>
          <w:b/>
          <w:sz w:val="24"/>
        </w:rPr>
      </w:pPr>
      <w:r w:rsidRPr="00673053">
        <w:rPr>
          <w:b/>
          <w:sz w:val="24"/>
        </w:rPr>
        <w:t>References</w:t>
      </w:r>
    </w:p>
    <w:p w14:paraId="030989CD" w14:textId="759076B3" w:rsidR="00F31D02" w:rsidRPr="00B249C2" w:rsidRDefault="00F31D02" w:rsidP="00F31D02">
      <w:pPr>
        <w:pStyle w:val="ListParagraph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 w:rsidRPr="00B249C2">
        <w:rPr>
          <w:rFonts w:ascii="Calibri" w:hAnsi="Calibri"/>
          <w:sz w:val="22"/>
          <w:szCs w:val="22"/>
        </w:rPr>
        <w:t xml:space="preserve">Substance </w:t>
      </w:r>
      <w:r w:rsidRPr="00B249C2">
        <w:rPr>
          <w:rFonts w:ascii="Calibri" w:eastAsia="Times New Roman" w:hAnsi="Calibri"/>
          <w:sz w:val="22"/>
          <w:szCs w:val="22"/>
        </w:rPr>
        <w:t>Abuse and Mental Health Services Administration, US Department of Health and Human Services. (2015). Medication for the Treatment of Alcohol Use Disorder: A Brief Guide.</w:t>
      </w:r>
    </w:p>
    <w:p w14:paraId="02EC0EC7" w14:textId="79534B2E" w:rsidR="00F31D02" w:rsidRPr="00D9780B" w:rsidRDefault="00D9780B" w:rsidP="00F31D02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9780B">
        <w:rPr>
          <w:rFonts w:ascii="Calibri" w:eastAsia="Times New Roman" w:hAnsi="Calibri"/>
          <w:sz w:val="22"/>
          <w:szCs w:val="22"/>
        </w:rPr>
        <w:t xml:space="preserve">Edelman, E.J. and Fiellin, D.A., 2016. Alcohol use. </w:t>
      </w:r>
      <w:r w:rsidRPr="00D9780B">
        <w:rPr>
          <w:rFonts w:ascii="Calibri" w:eastAsia="Times New Roman" w:hAnsi="Calibri"/>
          <w:i/>
          <w:iCs/>
          <w:sz w:val="22"/>
          <w:szCs w:val="22"/>
        </w:rPr>
        <w:t>Annals of internal medicine</w:t>
      </w:r>
      <w:r w:rsidRPr="00D9780B">
        <w:rPr>
          <w:rFonts w:ascii="Calibri" w:eastAsia="Times New Roman" w:hAnsi="Calibri"/>
          <w:sz w:val="22"/>
          <w:szCs w:val="22"/>
        </w:rPr>
        <w:t xml:space="preserve">, </w:t>
      </w:r>
      <w:r w:rsidRPr="00D9780B">
        <w:rPr>
          <w:rFonts w:ascii="Calibri" w:eastAsia="Times New Roman" w:hAnsi="Calibri"/>
          <w:i/>
          <w:iCs/>
          <w:sz w:val="22"/>
          <w:szCs w:val="22"/>
        </w:rPr>
        <w:t>164</w:t>
      </w:r>
      <w:r w:rsidRPr="00D9780B">
        <w:rPr>
          <w:rFonts w:ascii="Calibri" w:eastAsia="Times New Roman" w:hAnsi="Calibri"/>
          <w:sz w:val="22"/>
          <w:szCs w:val="22"/>
        </w:rPr>
        <w:t>(1), pp.ITC1-ITC16.</w:t>
      </w:r>
    </w:p>
    <w:p w14:paraId="3DB70A1E" w14:textId="77777777" w:rsidR="00D9780B" w:rsidRPr="004D16BD" w:rsidRDefault="00D9780B" w:rsidP="00F31D02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9780B">
        <w:rPr>
          <w:rFonts w:ascii="Calibri" w:eastAsia="Times New Roman" w:hAnsi="Calibri"/>
          <w:sz w:val="22"/>
          <w:szCs w:val="22"/>
        </w:rPr>
        <w:t xml:space="preserve">Jonas, D.E., Amick, H.R., Feltner, C., Bobashev, G., Thomas, K., Wines, R., Kim, M.M., Shanahan, E., Gass, C.E., Rowe, C.J. and Garbutt, J.C., 2014. Pharmacotherapy for adults with alcohol use disorders in outpatient settings: a systematic review and meta-analysis. </w:t>
      </w:r>
      <w:r w:rsidRPr="00D9780B">
        <w:rPr>
          <w:rFonts w:ascii="Calibri" w:eastAsia="Times New Roman" w:hAnsi="Calibri"/>
          <w:i/>
          <w:iCs/>
          <w:sz w:val="22"/>
          <w:szCs w:val="22"/>
        </w:rPr>
        <w:t>Jama</w:t>
      </w:r>
      <w:r w:rsidRPr="00D9780B">
        <w:rPr>
          <w:rFonts w:ascii="Calibri" w:eastAsia="Times New Roman" w:hAnsi="Calibri"/>
          <w:sz w:val="22"/>
          <w:szCs w:val="22"/>
        </w:rPr>
        <w:t xml:space="preserve">, </w:t>
      </w:r>
      <w:r w:rsidRPr="00D9780B">
        <w:rPr>
          <w:rFonts w:ascii="Calibri" w:eastAsia="Times New Roman" w:hAnsi="Calibri"/>
          <w:i/>
          <w:iCs/>
          <w:sz w:val="22"/>
          <w:szCs w:val="22"/>
        </w:rPr>
        <w:t>311</w:t>
      </w:r>
      <w:r w:rsidRPr="00D9780B">
        <w:rPr>
          <w:rFonts w:ascii="Calibri" w:eastAsia="Times New Roman" w:hAnsi="Calibri"/>
          <w:sz w:val="22"/>
          <w:szCs w:val="22"/>
        </w:rPr>
        <w:t>(18), pp.1889-1900.</w:t>
      </w:r>
      <w:r w:rsidRPr="00D9780B" w:rsidDel="00D9780B">
        <w:rPr>
          <w:rFonts w:ascii="Calibri" w:eastAsia="Times New Roman" w:hAnsi="Calibri"/>
          <w:sz w:val="22"/>
          <w:szCs w:val="22"/>
        </w:rPr>
        <w:t xml:space="preserve"> </w:t>
      </w:r>
    </w:p>
    <w:p w14:paraId="43CF539D" w14:textId="7F918092" w:rsidR="004D16BD" w:rsidRPr="00D9780B" w:rsidRDefault="004D16BD" w:rsidP="00F31D02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Department of Veterans Affairs, US Department of Defense. (2015). Clinical Practice Guideline for the Management of Substance Use Disorders: Screening and Treatment Pocket Card.</w:t>
      </w:r>
    </w:p>
    <w:p w14:paraId="6A7978E9" w14:textId="77777777" w:rsidR="00D9780B" w:rsidRPr="00D9780B" w:rsidRDefault="00D9780B" w:rsidP="00B249C2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9780B">
        <w:rPr>
          <w:rFonts w:ascii="Calibri" w:eastAsia="Times New Roman" w:hAnsi="Calibri"/>
          <w:sz w:val="22"/>
          <w:szCs w:val="22"/>
        </w:rPr>
        <w:t xml:space="preserve">Anton, R.F., O’Malley, S.S., Ciraulo, D.A., Cisler, R.A., Couper, D., Donovan, D.M., Gastfriend, D.R., Hosking, J.D., Johnson, B.A., LoCastro, J.S. and Longabaugh, R., 2006. Combined pharmacotherapies and behavioral interventions for alcohol dependence: the COMBINE study: a randomized controlled trial. </w:t>
      </w:r>
      <w:r w:rsidRPr="00D9780B">
        <w:rPr>
          <w:rFonts w:ascii="Calibri" w:eastAsia="Times New Roman" w:hAnsi="Calibri"/>
          <w:i/>
          <w:iCs/>
          <w:sz w:val="22"/>
          <w:szCs w:val="22"/>
        </w:rPr>
        <w:t>Jama</w:t>
      </w:r>
      <w:r w:rsidRPr="00D9780B">
        <w:rPr>
          <w:rFonts w:ascii="Calibri" w:eastAsia="Times New Roman" w:hAnsi="Calibri"/>
          <w:sz w:val="22"/>
          <w:szCs w:val="22"/>
        </w:rPr>
        <w:t xml:space="preserve">, </w:t>
      </w:r>
      <w:r w:rsidRPr="00D9780B">
        <w:rPr>
          <w:rFonts w:ascii="Calibri" w:eastAsia="Times New Roman" w:hAnsi="Calibri"/>
          <w:i/>
          <w:iCs/>
          <w:sz w:val="22"/>
          <w:szCs w:val="22"/>
        </w:rPr>
        <w:t>295</w:t>
      </w:r>
      <w:r w:rsidRPr="00D9780B">
        <w:rPr>
          <w:rFonts w:ascii="Calibri" w:eastAsia="Times New Roman" w:hAnsi="Calibri"/>
          <w:sz w:val="22"/>
          <w:szCs w:val="22"/>
        </w:rPr>
        <w:t>(17), pp.2003-2017.</w:t>
      </w:r>
      <w:r w:rsidRPr="00D9780B" w:rsidDel="00D9780B">
        <w:rPr>
          <w:rFonts w:ascii="Calibri" w:eastAsia="Times New Roman" w:hAnsi="Calibri"/>
          <w:sz w:val="22"/>
          <w:szCs w:val="22"/>
        </w:rPr>
        <w:t xml:space="preserve"> </w:t>
      </w:r>
    </w:p>
    <w:p w14:paraId="281DF39F" w14:textId="77777777" w:rsidR="00D9780B" w:rsidRPr="004D16BD" w:rsidRDefault="00D9780B" w:rsidP="00F4009F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sz w:val="22"/>
          <w:szCs w:val="22"/>
        </w:rPr>
      </w:pPr>
      <w:r w:rsidRPr="00D9780B">
        <w:rPr>
          <w:rFonts w:ascii="Calibri" w:eastAsia="Times New Roman" w:hAnsi="Calibri"/>
          <w:sz w:val="22"/>
          <w:szCs w:val="22"/>
        </w:rPr>
        <w:t>Korthuis, P.T., Lum, P.J., Vergara</w:t>
      </w:r>
      <w:r w:rsidRPr="00D9780B">
        <w:rPr>
          <w:rFonts w:ascii="Calibri" w:eastAsia="Times New Roman" w:hAnsi="Calibri" w:cs="Palatino Linotype"/>
          <w:sz w:val="22"/>
          <w:szCs w:val="22"/>
        </w:rPr>
        <w:t>‐</w:t>
      </w:r>
      <w:r w:rsidRPr="00D9780B">
        <w:rPr>
          <w:rFonts w:ascii="Calibri" w:eastAsia="Times New Roman" w:hAnsi="Calibri"/>
          <w:sz w:val="22"/>
          <w:szCs w:val="22"/>
        </w:rPr>
        <w:t>Rodriguez, P., Ahamad, K., Wood, E., Kunkel, L.E., Oden, N.L., Lindblad, R., Sorensen, J.L., Arenas, V. and Ha, D., 2017. Feasibility and safety of extended</w:t>
      </w:r>
      <w:r w:rsidRPr="00D9780B">
        <w:rPr>
          <w:rFonts w:ascii="Calibri" w:eastAsia="Times New Roman" w:hAnsi="Calibri" w:cs="Palatino Linotype"/>
          <w:sz w:val="22"/>
          <w:szCs w:val="22"/>
        </w:rPr>
        <w:t>‐</w:t>
      </w:r>
      <w:r w:rsidRPr="00D9780B">
        <w:rPr>
          <w:rFonts w:ascii="Calibri" w:eastAsia="Times New Roman" w:hAnsi="Calibri"/>
          <w:sz w:val="22"/>
          <w:szCs w:val="22"/>
        </w:rPr>
        <w:t xml:space="preserve">release naltrexone treatment of opioid and alcohol use disorder in HIV clinics: a pilot/feasibility randomized trial. </w:t>
      </w:r>
      <w:r w:rsidRPr="00D9780B">
        <w:rPr>
          <w:rFonts w:ascii="Calibri" w:eastAsia="Times New Roman" w:hAnsi="Calibri"/>
          <w:i/>
          <w:iCs/>
          <w:sz w:val="22"/>
          <w:szCs w:val="22"/>
        </w:rPr>
        <w:t>Addiction</w:t>
      </w:r>
      <w:r w:rsidRPr="00D9780B">
        <w:rPr>
          <w:rFonts w:ascii="Calibri" w:eastAsia="Times New Roman" w:hAnsi="Calibri"/>
          <w:sz w:val="22"/>
          <w:szCs w:val="22"/>
        </w:rPr>
        <w:t xml:space="preserve">, </w:t>
      </w:r>
      <w:r w:rsidRPr="00D9780B">
        <w:rPr>
          <w:rFonts w:ascii="Calibri" w:eastAsia="Times New Roman" w:hAnsi="Calibri"/>
          <w:i/>
          <w:iCs/>
          <w:sz w:val="22"/>
          <w:szCs w:val="22"/>
        </w:rPr>
        <w:t>112</w:t>
      </w:r>
      <w:r w:rsidRPr="00D9780B">
        <w:rPr>
          <w:rFonts w:ascii="Calibri" w:eastAsia="Times New Roman" w:hAnsi="Calibri"/>
          <w:sz w:val="22"/>
          <w:szCs w:val="22"/>
        </w:rPr>
        <w:t>(6), pp.1036-1044.</w:t>
      </w:r>
    </w:p>
    <w:p w14:paraId="4C9F0EAF" w14:textId="3CE134C5" w:rsidR="00F4009F" w:rsidRPr="00D53BEE" w:rsidRDefault="00D9780B" w:rsidP="00D9780B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D9780B">
        <w:rPr>
          <w:rFonts w:ascii="Calibri" w:eastAsia="Times New Roman" w:hAnsi="Calibri"/>
          <w:sz w:val="22"/>
          <w:szCs w:val="22"/>
        </w:rPr>
        <w:t>Edelman, E.J., Moore, B.A., Holt, S.R., Hansen, N</w:t>
      </w:r>
      <w:r w:rsidRPr="00D53BEE">
        <w:rPr>
          <w:rFonts w:asciiTheme="majorHAnsi" w:eastAsia="Times New Roman" w:hAnsiTheme="majorHAnsi"/>
          <w:sz w:val="22"/>
          <w:szCs w:val="22"/>
        </w:rPr>
        <w:t xml:space="preserve">., Kyriakides, T.C., Virata, M., Brown, S.T., Justice, A.C., Bryant, K.J., Fiellin, D.A. and Fiellin, L.E., 2018. Efficacy of Extended-Release Naltrexone on HIV-Related and Drinking Outcomes Among HIV-Positive Patients: A Randomized-Controlled Trial. </w:t>
      </w:r>
      <w:r w:rsidRPr="00D53BEE">
        <w:rPr>
          <w:rFonts w:asciiTheme="majorHAnsi" w:eastAsia="Times New Roman" w:hAnsiTheme="majorHAnsi"/>
          <w:i/>
          <w:iCs/>
          <w:sz w:val="22"/>
          <w:szCs w:val="22"/>
        </w:rPr>
        <w:t>AIDS and Behavior</w:t>
      </w:r>
      <w:r w:rsidRPr="00D53BEE">
        <w:rPr>
          <w:rFonts w:asciiTheme="majorHAnsi" w:eastAsia="Times New Roman" w:hAnsiTheme="majorHAnsi"/>
          <w:sz w:val="22"/>
          <w:szCs w:val="22"/>
        </w:rPr>
        <w:t>, pp.1-11.</w:t>
      </w:r>
    </w:p>
    <w:p w14:paraId="0C124495" w14:textId="3A062B18" w:rsidR="00D53BEE" w:rsidRPr="00D53BEE" w:rsidRDefault="00D53BEE" w:rsidP="00D9780B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D53BEE">
        <w:rPr>
          <w:rFonts w:asciiTheme="majorHAnsi" w:eastAsia="Times New Roman" w:hAnsiTheme="majorHAnsi"/>
          <w:sz w:val="22"/>
          <w:szCs w:val="22"/>
        </w:rPr>
        <w:t xml:space="preserve">Tetrault, J.M., Tate, J.P., McGinnis, K.A., Goulet, J.L., Sullivan, L.E., Bryant, K., Justice, A.C., Fiellin, D.A. and Veterans Aging Cohort Study Team, 2012. Hepatic safety and antiretroviral effectiveness in HIV‐infected patients receiving naltrexone. </w:t>
      </w:r>
      <w:r w:rsidRPr="00D53BEE">
        <w:rPr>
          <w:rFonts w:asciiTheme="majorHAnsi" w:eastAsia="Times New Roman" w:hAnsiTheme="majorHAnsi"/>
          <w:i/>
          <w:iCs/>
          <w:sz w:val="22"/>
          <w:szCs w:val="22"/>
        </w:rPr>
        <w:t>Alcoholism: Clinical and Experimental Research</w:t>
      </w:r>
      <w:r w:rsidRPr="00D53BEE">
        <w:rPr>
          <w:rFonts w:asciiTheme="majorHAnsi" w:eastAsia="Times New Roman" w:hAnsiTheme="majorHAnsi"/>
          <w:sz w:val="22"/>
          <w:szCs w:val="22"/>
        </w:rPr>
        <w:t xml:space="preserve">, </w:t>
      </w:r>
      <w:r w:rsidRPr="00D53BEE">
        <w:rPr>
          <w:rFonts w:asciiTheme="majorHAnsi" w:eastAsia="Times New Roman" w:hAnsiTheme="majorHAnsi"/>
          <w:i/>
          <w:iCs/>
          <w:sz w:val="22"/>
          <w:szCs w:val="22"/>
        </w:rPr>
        <w:t>36</w:t>
      </w:r>
      <w:r w:rsidRPr="00D53BEE">
        <w:rPr>
          <w:rFonts w:asciiTheme="majorHAnsi" w:eastAsia="Times New Roman" w:hAnsiTheme="majorHAnsi"/>
          <w:sz w:val="22"/>
          <w:szCs w:val="22"/>
        </w:rPr>
        <w:t>(2), pp.318-324.</w:t>
      </w:r>
    </w:p>
    <w:sectPr w:rsidR="00D53BEE" w:rsidRPr="00D53BEE" w:rsidSect="000E7BC4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10F4C" w14:textId="77777777" w:rsidR="00424739" w:rsidRDefault="00424739" w:rsidP="003E4F96">
      <w:r>
        <w:separator/>
      </w:r>
    </w:p>
  </w:endnote>
  <w:endnote w:type="continuationSeparator" w:id="0">
    <w:p w14:paraId="6BED0AF4" w14:textId="77777777" w:rsidR="00424739" w:rsidRDefault="00424739" w:rsidP="003E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242A9" w14:textId="77777777" w:rsidR="00424739" w:rsidRDefault="00424739" w:rsidP="003E4F96">
      <w:r>
        <w:separator/>
      </w:r>
    </w:p>
  </w:footnote>
  <w:footnote w:type="continuationSeparator" w:id="0">
    <w:p w14:paraId="713BFED0" w14:textId="77777777" w:rsidR="00424739" w:rsidRDefault="00424739" w:rsidP="003E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4DE9"/>
    <w:multiLevelType w:val="hybridMultilevel"/>
    <w:tmpl w:val="6474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6CB9"/>
    <w:multiLevelType w:val="hybridMultilevel"/>
    <w:tmpl w:val="7F44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CCF20D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7F1491"/>
    <w:multiLevelType w:val="hybridMultilevel"/>
    <w:tmpl w:val="6974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BC852C">
      <w:start w:val="45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B2DA9"/>
    <w:multiLevelType w:val="hybridMultilevel"/>
    <w:tmpl w:val="CF3E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334F"/>
    <w:multiLevelType w:val="hybridMultilevel"/>
    <w:tmpl w:val="CED20382"/>
    <w:lvl w:ilvl="0" w:tplc="F508EFC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45FF7"/>
    <w:multiLevelType w:val="hybridMultilevel"/>
    <w:tmpl w:val="C3CA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EF"/>
    <w:rsid w:val="00095B6D"/>
    <w:rsid w:val="000C4283"/>
    <w:rsid w:val="000E2F9A"/>
    <w:rsid w:val="000E7BC4"/>
    <w:rsid w:val="001348A5"/>
    <w:rsid w:val="00142CBC"/>
    <w:rsid w:val="0017226E"/>
    <w:rsid w:val="002806EF"/>
    <w:rsid w:val="00283F09"/>
    <w:rsid w:val="002B2BF1"/>
    <w:rsid w:val="00393ABB"/>
    <w:rsid w:val="003E4F96"/>
    <w:rsid w:val="00424739"/>
    <w:rsid w:val="004B4D50"/>
    <w:rsid w:val="004C60EA"/>
    <w:rsid w:val="004D16BD"/>
    <w:rsid w:val="004F6CA3"/>
    <w:rsid w:val="005874A3"/>
    <w:rsid w:val="00600541"/>
    <w:rsid w:val="00625993"/>
    <w:rsid w:val="00673053"/>
    <w:rsid w:val="00680189"/>
    <w:rsid w:val="00713C12"/>
    <w:rsid w:val="00750F5D"/>
    <w:rsid w:val="00776F8C"/>
    <w:rsid w:val="00791B84"/>
    <w:rsid w:val="007A0349"/>
    <w:rsid w:val="007C6870"/>
    <w:rsid w:val="007E11EC"/>
    <w:rsid w:val="00846250"/>
    <w:rsid w:val="00884AF7"/>
    <w:rsid w:val="00981233"/>
    <w:rsid w:val="0099232D"/>
    <w:rsid w:val="009F7158"/>
    <w:rsid w:val="00A60AF4"/>
    <w:rsid w:val="00AC6D52"/>
    <w:rsid w:val="00B20E80"/>
    <w:rsid w:val="00B249C2"/>
    <w:rsid w:val="00B740B4"/>
    <w:rsid w:val="00BA05FF"/>
    <w:rsid w:val="00BD70F4"/>
    <w:rsid w:val="00BE46B6"/>
    <w:rsid w:val="00C04A6E"/>
    <w:rsid w:val="00C43BA3"/>
    <w:rsid w:val="00C951AA"/>
    <w:rsid w:val="00D368B2"/>
    <w:rsid w:val="00D46DD3"/>
    <w:rsid w:val="00D53BEE"/>
    <w:rsid w:val="00D55D60"/>
    <w:rsid w:val="00D876E3"/>
    <w:rsid w:val="00D9780B"/>
    <w:rsid w:val="00E054B6"/>
    <w:rsid w:val="00EC5F11"/>
    <w:rsid w:val="00F1100C"/>
    <w:rsid w:val="00F31D02"/>
    <w:rsid w:val="00F4009F"/>
    <w:rsid w:val="00F670B6"/>
    <w:rsid w:val="00F80F17"/>
    <w:rsid w:val="00FB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47A63"/>
  <w14:defaultImageDpi w14:val="300"/>
  <w15:docId w15:val="{1CA737E5-0835-438F-9C66-FD766807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26E"/>
  </w:style>
  <w:style w:type="paragraph" w:styleId="Heading1">
    <w:name w:val="heading 1"/>
    <w:basedOn w:val="Normal"/>
    <w:next w:val="Normal"/>
    <w:link w:val="Heading1Char"/>
    <w:uiPriority w:val="9"/>
    <w:qFormat/>
    <w:rsid w:val="0017226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26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26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26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2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2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2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2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2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3E4F96"/>
  </w:style>
  <w:style w:type="character" w:customStyle="1" w:styleId="EndnoteTextChar">
    <w:name w:val="Endnote Text Char"/>
    <w:basedOn w:val="DefaultParagraphFont"/>
    <w:link w:val="EndnoteText"/>
    <w:uiPriority w:val="99"/>
    <w:rsid w:val="003E4F96"/>
  </w:style>
  <w:style w:type="character" w:styleId="EndnoteReference">
    <w:name w:val="endnote reference"/>
    <w:basedOn w:val="DefaultParagraphFont"/>
    <w:uiPriority w:val="99"/>
    <w:unhideWhenUsed/>
    <w:rsid w:val="003E4F96"/>
    <w:rPr>
      <w:vertAlign w:val="superscript"/>
    </w:rPr>
  </w:style>
  <w:style w:type="table" w:styleId="TableGrid">
    <w:name w:val="Table Grid"/>
    <w:basedOn w:val="TableNormal"/>
    <w:uiPriority w:val="59"/>
    <w:rsid w:val="0077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7226E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26E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26E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26E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26E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26E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26E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26E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26E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226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722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7226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2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7226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7226E"/>
    <w:rPr>
      <w:b/>
      <w:bCs/>
    </w:rPr>
  </w:style>
  <w:style w:type="character" w:styleId="Emphasis">
    <w:name w:val="Emphasis"/>
    <w:basedOn w:val="DefaultParagraphFont"/>
    <w:uiPriority w:val="20"/>
    <w:qFormat/>
    <w:rsid w:val="0017226E"/>
    <w:rPr>
      <w:i/>
      <w:iCs/>
      <w:color w:val="F79646" w:themeColor="accent6"/>
    </w:rPr>
  </w:style>
  <w:style w:type="paragraph" w:styleId="NoSpacing">
    <w:name w:val="No Spacing"/>
    <w:uiPriority w:val="1"/>
    <w:qFormat/>
    <w:rsid w:val="001722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7226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7226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26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26E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7226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7226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226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7226E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17226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26E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E7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B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7B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01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1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78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1157</Words>
  <Characters>6597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Morford</dc:creator>
  <cp:keywords/>
  <dc:description/>
  <cp:lastModifiedBy>Porter, Elizabeth</cp:lastModifiedBy>
  <cp:revision>2</cp:revision>
  <dcterms:created xsi:type="dcterms:W3CDTF">2018-09-11T18:16:00Z</dcterms:created>
  <dcterms:modified xsi:type="dcterms:W3CDTF">2018-09-11T18:16:00Z</dcterms:modified>
</cp:coreProperties>
</file>